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0A9C6C" w14:textId="549A37DB" w:rsidR="007C3D54" w:rsidRPr="00A10D88" w:rsidRDefault="007C3D54" w:rsidP="007C3D54">
      <w:pPr>
        <w:rPr>
          <w:sz w:val="18"/>
          <w:szCs w:val="18"/>
        </w:rPr>
      </w:pPr>
      <w:bookmarkStart w:id="0" w:name="_GoBack"/>
      <w:bookmarkEnd w:id="0"/>
      <w:r w:rsidRPr="00A10D88">
        <w:rPr>
          <w:sz w:val="18"/>
          <w:szCs w:val="18"/>
        </w:rPr>
        <w:t xml:space="preserve">Filename: </w:t>
      </w:r>
      <w:r w:rsidR="00170431" w:rsidRPr="00170431">
        <w:rPr>
          <w:sz w:val="18"/>
          <w:szCs w:val="18"/>
        </w:rPr>
        <w:t xml:space="preserve">Public Comment on Two Pilotto et al References as they relate to </w:t>
      </w:r>
      <w:proofErr w:type="spellStart"/>
      <w:r w:rsidR="00170431" w:rsidRPr="00170431">
        <w:rPr>
          <w:sz w:val="18"/>
          <w:szCs w:val="18"/>
        </w:rPr>
        <w:t>Cyano</w:t>
      </w:r>
      <w:proofErr w:type="spellEnd"/>
      <w:r w:rsidR="00170431" w:rsidRPr="00170431">
        <w:rPr>
          <w:sz w:val="18"/>
          <w:szCs w:val="18"/>
        </w:rPr>
        <w:t xml:space="preserve"> cell counts Critique Revised 2020</w:t>
      </w:r>
    </w:p>
    <w:p w14:paraId="35E67379" w14:textId="780D59F8" w:rsidR="007C3D54" w:rsidRPr="00A10D88" w:rsidRDefault="007C3D54" w:rsidP="007C3D54">
      <w:pPr>
        <w:rPr>
          <w:sz w:val="18"/>
          <w:szCs w:val="18"/>
        </w:rPr>
      </w:pPr>
      <w:r w:rsidRPr="00A10D88">
        <w:rPr>
          <w:sz w:val="18"/>
          <w:szCs w:val="18"/>
        </w:rPr>
        <w:t>Version 1.0.</w:t>
      </w:r>
    </w:p>
    <w:p w14:paraId="33418272" w14:textId="77777777" w:rsidR="007C3D54" w:rsidRDefault="007C3D54" w:rsidP="007C3D54"/>
    <w:p w14:paraId="573CFE9A" w14:textId="77777777" w:rsidR="007C3D54" w:rsidRDefault="007C3D54" w:rsidP="007D3A8B">
      <w:pPr>
        <w:pStyle w:val="Title"/>
      </w:pPr>
    </w:p>
    <w:p w14:paraId="548A7ACB" w14:textId="77777777" w:rsidR="007C3D54" w:rsidRDefault="007C3D54" w:rsidP="00537BC9"/>
    <w:p w14:paraId="62A387C2" w14:textId="77777777" w:rsidR="00A10D88" w:rsidRDefault="00A10D88" w:rsidP="007D3A8B">
      <w:pPr>
        <w:pStyle w:val="Title"/>
      </w:pPr>
    </w:p>
    <w:p w14:paraId="1471C3B5" w14:textId="369C03D4" w:rsidR="007C000D" w:rsidRDefault="00C6713F" w:rsidP="007D3A8B">
      <w:pPr>
        <w:pStyle w:val="Title"/>
      </w:pPr>
      <w:r w:rsidRPr="007D3A8B">
        <w:t>Critique of</w:t>
      </w:r>
      <w:r w:rsidR="007C3D54">
        <w:t xml:space="preserve"> the relevance of two references used by several management agencies</w:t>
      </w:r>
      <w:r w:rsidR="00537BC9">
        <w:t>, including UDWQ</w:t>
      </w:r>
      <w:r w:rsidR="007C3D54">
        <w:t xml:space="preserve"> </w:t>
      </w:r>
      <w:r w:rsidR="00A10D88">
        <w:t xml:space="preserve">to </w:t>
      </w:r>
      <w:r w:rsidR="007C3D54">
        <w:t>justify cyanobacteria cells counts as it relates to human health.</w:t>
      </w:r>
    </w:p>
    <w:p w14:paraId="02662AAA" w14:textId="77777777" w:rsidR="00827E97" w:rsidRDefault="00827E97" w:rsidP="00C6713F">
      <w:pPr>
        <w:outlineLvl w:val="0"/>
      </w:pPr>
    </w:p>
    <w:p w14:paraId="247F693E" w14:textId="77777777" w:rsidR="00827E97" w:rsidRPr="00C6713F" w:rsidRDefault="00827E97" w:rsidP="00C6713F">
      <w:pPr>
        <w:outlineLvl w:val="0"/>
        <w:rPr>
          <w:sz w:val="28"/>
          <w:szCs w:val="28"/>
        </w:rPr>
      </w:pPr>
    </w:p>
    <w:p w14:paraId="46F52CD1" w14:textId="288684F5" w:rsidR="00827E97" w:rsidRPr="007D3A8B" w:rsidRDefault="00EA0ECA" w:rsidP="007D3A8B">
      <w:pPr>
        <w:pStyle w:val="Subtitle"/>
        <w:rPr>
          <w:sz w:val="44"/>
          <w:szCs w:val="44"/>
        </w:rPr>
      </w:pPr>
      <w:r>
        <w:rPr>
          <w:sz w:val="44"/>
          <w:szCs w:val="44"/>
        </w:rPr>
        <w:t>Public Comment</w:t>
      </w:r>
    </w:p>
    <w:p w14:paraId="6CF12A19" w14:textId="77777777" w:rsidR="00A10D88" w:rsidRDefault="00A10D88" w:rsidP="00A10D88"/>
    <w:p w14:paraId="584AD440" w14:textId="535E8A6C" w:rsidR="00A10D88" w:rsidRDefault="00A10D88" w:rsidP="00A10D88">
      <w:r>
        <w:t>To:</w:t>
      </w:r>
    </w:p>
    <w:p w14:paraId="49BD73D1" w14:textId="36E20C8C" w:rsidR="00A10D88" w:rsidRDefault="00EA0ECA" w:rsidP="00A10D88">
      <w:r>
        <w:t>Utah Division of Water Quality</w:t>
      </w:r>
      <w:r w:rsidR="00A10D88">
        <w:t>, Salt Lake City, UT</w:t>
      </w:r>
    </w:p>
    <w:p w14:paraId="0410E73B" w14:textId="77777777" w:rsidR="00A10D88" w:rsidRDefault="00A10D88" w:rsidP="00A10D88"/>
    <w:p w14:paraId="17836ECB" w14:textId="7FDF1F3C" w:rsidR="00A10D88" w:rsidRDefault="00EA0ECA" w:rsidP="00A10D88">
      <w:r>
        <w:t>From:</w:t>
      </w:r>
    </w:p>
    <w:p w14:paraId="283E299B" w14:textId="77777777" w:rsidR="00A10D88" w:rsidRDefault="00A10D88" w:rsidP="00A10D88">
      <w:r>
        <w:t>David C. Richards, Ph. D.</w:t>
      </w:r>
    </w:p>
    <w:p w14:paraId="73CEDA33" w14:textId="77777777" w:rsidR="00A10D88" w:rsidRDefault="00A10D88" w:rsidP="00A10D88">
      <w:r>
        <w:t>OreoHelix Ecological</w:t>
      </w:r>
    </w:p>
    <w:p w14:paraId="6195CDE3" w14:textId="77777777" w:rsidR="00A10D88" w:rsidRDefault="00A10D88" w:rsidP="00A10D88">
      <w:r>
        <w:t>Vineyard, UT</w:t>
      </w:r>
    </w:p>
    <w:p w14:paraId="4B0864F1" w14:textId="77777777" w:rsidR="00A10D88" w:rsidRDefault="00A10D88" w:rsidP="00A10D88">
      <w:r>
        <w:t>Phone: 406.580.7816</w:t>
      </w:r>
    </w:p>
    <w:p w14:paraId="1C154579" w14:textId="77777777" w:rsidR="00A10D88" w:rsidRDefault="00A10D88" w:rsidP="00A10D88">
      <w:r>
        <w:t xml:space="preserve">Email: </w:t>
      </w:r>
      <w:hyperlink r:id="rId8" w:history="1">
        <w:r w:rsidRPr="004B4373">
          <w:rPr>
            <w:rStyle w:val="Hyperlink"/>
          </w:rPr>
          <w:t>oreohelix@icloud.com</w:t>
        </w:r>
      </w:hyperlink>
    </w:p>
    <w:p w14:paraId="4FE359BC" w14:textId="77777777" w:rsidR="00827E97" w:rsidRDefault="00827E97"/>
    <w:p w14:paraId="0AFBAA0C" w14:textId="77777777" w:rsidR="00A10D88" w:rsidRDefault="00A10D88" w:rsidP="00DE38A3"/>
    <w:p w14:paraId="4716E507" w14:textId="77777777" w:rsidR="00A10D88" w:rsidRDefault="00A10D88" w:rsidP="00DE38A3"/>
    <w:p w14:paraId="11EF60EF" w14:textId="77777777" w:rsidR="00A10D88" w:rsidRDefault="00A10D88" w:rsidP="00DE38A3"/>
    <w:p w14:paraId="1D4DF938" w14:textId="77777777" w:rsidR="00A10D88" w:rsidRDefault="00A10D88" w:rsidP="00DE38A3"/>
    <w:p w14:paraId="500CA99F" w14:textId="27665EC2" w:rsidR="007D3A8B" w:rsidRDefault="00537BC9" w:rsidP="00DE38A3">
      <w:r>
        <w:t>February 13, 2020</w:t>
      </w:r>
    </w:p>
    <w:p w14:paraId="48474C61" w14:textId="77777777" w:rsidR="007D3A8B" w:rsidRDefault="007D3A8B" w:rsidP="00DE38A3"/>
    <w:p w14:paraId="379EC996" w14:textId="77777777" w:rsidR="007D3A8B" w:rsidRDefault="007D3A8B" w:rsidP="00DE38A3"/>
    <w:p w14:paraId="61A83FC7" w14:textId="6CF4F9AB" w:rsidR="007D3A8B" w:rsidRDefault="007D3A8B" w:rsidP="00DE38A3"/>
    <w:p w14:paraId="0C2C7BB2" w14:textId="7049F0E0" w:rsidR="00827E97" w:rsidRDefault="00827E97" w:rsidP="00DE38A3"/>
    <w:p w14:paraId="47CD7486" w14:textId="2FFC0D93" w:rsidR="00537BC9" w:rsidRDefault="00537BC9" w:rsidP="00DE38A3">
      <w:r>
        <w:br w:type="page"/>
      </w:r>
    </w:p>
    <w:p w14:paraId="2BD4DD53" w14:textId="03808C76" w:rsidR="00AE05A0" w:rsidRDefault="00DE38A3" w:rsidP="00DE38A3">
      <w:pPr>
        <w:pStyle w:val="Heading1"/>
      </w:pPr>
      <w:r>
        <w:lastRenderedPageBreak/>
        <w:t>Introduction</w:t>
      </w:r>
    </w:p>
    <w:p w14:paraId="4F78C2E1" w14:textId="73FD175F" w:rsidR="00C6713F" w:rsidRDefault="001B25C1">
      <w:r>
        <w:t>Utah Division of Water Quality (</w:t>
      </w:r>
      <w:r w:rsidR="002B5714">
        <w:t>UDWQ</w:t>
      </w:r>
      <w:r>
        <w:t>)</w:t>
      </w:r>
      <w:r w:rsidR="002B5714">
        <w:t xml:space="preserve"> </w:t>
      </w:r>
      <w:r>
        <w:t>has requested public comment on its “Utah Updated 2020 HAB Guidance document (</w:t>
      </w:r>
      <w:r w:rsidRPr="001B25C1">
        <w:t>https://deq.utah.gov/water-quality/utah-updated-2020-hab-guidance</w:t>
      </w:r>
      <w:r>
        <w:t xml:space="preserve">). The document was based on several agencies’ guidance and guidelines for recreational use during cyanobacterial blooms including CWQMC </w:t>
      </w:r>
      <w:r w:rsidR="00706EE0">
        <w:t>(</w:t>
      </w:r>
      <w:r>
        <w:t>2016</w:t>
      </w:r>
      <w:r w:rsidR="00706EE0">
        <w:t>)</w:t>
      </w:r>
      <w:r>
        <w:t xml:space="preserve">, EPA </w:t>
      </w:r>
      <w:r w:rsidR="00706EE0">
        <w:t>(</w:t>
      </w:r>
      <w:r>
        <w:t>2019</w:t>
      </w:r>
      <w:r w:rsidR="00706EE0">
        <w:t>)</w:t>
      </w:r>
      <w:r>
        <w:t xml:space="preserve">, OHA </w:t>
      </w:r>
      <w:r w:rsidR="00706EE0">
        <w:t>(</w:t>
      </w:r>
      <w:r>
        <w:t>2019</w:t>
      </w:r>
      <w:r w:rsidR="00706EE0">
        <w:t>)</w:t>
      </w:r>
      <w:r>
        <w:t xml:space="preserve">, WHO </w:t>
      </w:r>
      <w:r w:rsidR="00706EE0">
        <w:t>(</w:t>
      </w:r>
      <w:r>
        <w:t>1999</w:t>
      </w:r>
      <w:r w:rsidR="00706EE0">
        <w:t>)</w:t>
      </w:r>
      <w:r>
        <w:t xml:space="preserve">, and WHO </w:t>
      </w:r>
      <w:r w:rsidR="00706EE0">
        <w:t>(</w:t>
      </w:r>
      <w:r>
        <w:t>2003</w:t>
      </w:r>
      <w:r w:rsidR="00706EE0">
        <w:t xml:space="preserve">). These groups cited dozens of references to help determine </w:t>
      </w:r>
      <w:r w:rsidR="004116C9">
        <w:t>cyanobacterial</w:t>
      </w:r>
      <w:r w:rsidR="00706EE0">
        <w:t xml:space="preserve"> guidelines and several, including UDWQ, relied on papers by Pilotto et al 2017a and Pilotto et al. 2017b</w:t>
      </w:r>
      <w:r>
        <w:t xml:space="preserve">. </w:t>
      </w:r>
      <w:r w:rsidR="00706EE0">
        <w:t xml:space="preserve">Although UDWQ may have decided not to use these references in their current guidelines, UDWQ’s </w:t>
      </w:r>
      <w:r w:rsidR="002B5714">
        <w:t xml:space="preserve">2016 draft IR cites </w:t>
      </w:r>
      <w:r w:rsidR="00706EE0">
        <w:t>these papers</w:t>
      </w:r>
      <w:r w:rsidR="004116C9">
        <w:t xml:space="preserve"> and I assume UDWQ still relies on these papers</w:t>
      </w:r>
      <w:r w:rsidR="00706EE0">
        <w:t>. In a previous public comment, I</w:t>
      </w:r>
      <w:r w:rsidR="00C6713F">
        <w:t xml:space="preserve"> reviewed the Pi</w:t>
      </w:r>
      <w:r w:rsidR="00706EE0">
        <w:t>l</w:t>
      </w:r>
      <w:r w:rsidR="00C6713F">
        <w:t>otto et al 1997</w:t>
      </w:r>
      <w:r w:rsidR="00706EE0">
        <w:t>a</w:t>
      </w:r>
      <w:r w:rsidR="00C6713F">
        <w:t xml:space="preserve"> paper and ha</w:t>
      </w:r>
      <w:r w:rsidR="00706EE0">
        <w:t>d</w:t>
      </w:r>
      <w:r w:rsidR="00C6713F">
        <w:t xml:space="preserve"> some major </w:t>
      </w:r>
      <w:r w:rsidR="00645B9C">
        <w:t>misgivings concerning their conclusions</w:t>
      </w:r>
      <w:r w:rsidR="00C6713F">
        <w:t xml:space="preserve"> </w:t>
      </w:r>
      <w:r w:rsidR="00706EE0">
        <w:t xml:space="preserve">that </w:t>
      </w:r>
      <w:r w:rsidR="00C6713F">
        <w:t>need</w:t>
      </w:r>
      <w:r w:rsidR="00706EE0">
        <w:t>ed</w:t>
      </w:r>
      <w:r w:rsidR="00C6713F">
        <w:t xml:space="preserve"> to be addresse</w:t>
      </w:r>
      <w:r w:rsidR="00706EE0">
        <w:t>d</w:t>
      </w:r>
      <w:r w:rsidR="00C6713F">
        <w:t>.</w:t>
      </w:r>
      <w:r w:rsidR="00706EE0">
        <w:t xml:space="preserve"> In this public comment I will review that paper once again and also review and critique Pilotto et al 1997b. </w:t>
      </w:r>
    </w:p>
    <w:p w14:paraId="5CE2CC3A" w14:textId="03C1C004" w:rsidR="00706EE0" w:rsidRDefault="00706EE0"/>
    <w:p w14:paraId="3AEFFEFE" w14:textId="734FB100" w:rsidR="00706EE0" w:rsidRPr="004116C9" w:rsidRDefault="00706EE0">
      <w:pPr>
        <w:rPr>
          <w:i/>
          <w:iCs/>
        </w:rPr>
      </w:pPr>
      <w:r w:rsidRPr="004116C9">
        <w:rPr>
          <w:i/>
          <w:iCs/>
        </w:rPr>
        <w:t xml:space="preserve">In short, neither the Pilotto et al. 1997a or 1997b papers provide support that cyanoHABs </w:t>
      </w:r>
      <w:r w:rsidR="00251F9F" w:rsidRPr="004116C9">
        <w:rPr>
          <w:i/>
          <w:iCs/>
        </w:rPr>
        <w:t xml:space="preserve">have detrimental effects on human health. These reports were either poorly analyzed or their observed effects were no more severe than simple allergies common to 30% or more of the population and </w:t>
      </w:r>
      <w:r w:rsidR="00F97A73">
        <w:rPr>
          <w:i/>
          <w:iCs/>
        </w:rPr>
        <w:t xml:space="preserve">that </w:t>
      </w:r>
      <w:r w:rsidR="004116C9" w:rsidRPr="004116C9">
        <w:rPr>
          <w:i/>
          <w:iCs/>
        </w:rPr>
        <w:t xml:space="preserve">minor effects are </w:t>
      </w:r>
      <w:r w:rsidR="00251F9F" w:rsidRPr="004116C9">
        <w:rPr>
          <w:i/>
          <w:iCs/>
        </w:rPr>
        <w:t xml:space="preserve">very short lived. I recommend that UDWQ not base its cyanobacteria guidelines on </w:t>
      </w:r>
      <w:r w:rsidR="004116C9" w:rsidRPr="004116C9">
        <w:rPr>
          <w:i/>
          <w:iCs/>
        </w:rPr>
        <w:t xml:space="preserve">the </w:t>
      </w:r>
      <w:r w:rsidR="00251F9F" w:rsidRPr="004116C9">
        <w:rPr>
          <w:i/>
          <w:iCs/>
        </w:rPr>
        <w:t>findings of these two papers and</w:t>
      </w:r>
      <w:r w:rsidR="00F97A73">
        <w:rPr>
          <w:i/>
          <w:iCs/>
        </w:rPr>
        <w:t xml:space="preserve"> that UDWQ</w:t>
      </w:r>
      <w:r w:rsidR="00251F9F" w:rsidRPr="004116C9">
        <w:rPr>
          <w:i/>
          <w:iCs/>
        </w:rPr>
        <w:t xml:space="preserve"> critically evaluate other papers that they </w:t>
      </w:r>
      <w:r w:rsidR="004116C9" w:rsidRPr="004116C9">
        <w:rPr>
          <w:i/>
          <w:iCs/>
        </w:rPr>
        <w:t>use in their proposed guidelines</w:t>
      </w:r>
      <w:r w:rsidR="00251F9F" w:rsidRPr="004116C9">
        <w:rPr>
          <w:i/>
          <w:iCs/>
        </w:rPr>
        <w:t xml:space="preserve">. </w:t>
      </w:r>
    </w:p>
    <w:p w14:paraId="6A421222" w14:textId="03BE996B" w:rsidR="00251F9F" w:rsidRDefault="00251F9F"/>
    <w:p w14:paraId="42104309" w14:textId="3F8EBB73" w:rsidR="00251F9F" w:rsidRDefault="00251F9F">
      <w:r>
        <w:t>My critique on two Pilotto et al. 1997 papers is as follows:</w:t>
      </w:r>
    </w:p>
    <w:p w14:paraId="43D9F7EA" w14:textId="77777777" w:rsidR="003144B1" w:rsidRDefault="003144B1"/>
    <w:p w14:paraId="5869E8DF" w14:textId="2E1BF130" w:rsidR="00251F9F" w:rsidRDefault="00251F9F" w:rsidP="00D2012F">
      <w:pPr>
        <w:pStyle w:val="Heading2"/>
        <w:numPr>
          <w:ilvl w:val="0"/>
          <w:numId w:val="2"/>
        </w:numPr>
        <w:ind w:left="360"/>
      </w:pPr>
      <w:r>
        <w:t>Pilotto et al. 1997a. “Health effects of exposure to cyanobacteria (blue–green algae) during recreational water related activities.”</w:t>
      </w:r>
    </w:p>
    <w:p w14:paraId="01008061" w14:textId="77777777" w:rsidR="00251F9F" w:rsidRPr="00251F9F" w:rsidRDefault="00251F9F" w:rsidP="00251F9F"/>
    <w:p w14:paraId="37A94E7B" w14:textId="0B49B6B9" w:rsidR="00251F9F" w:rsidRDefault="00251F9F" w:rsidP="00251F9F">
      <w:r>
        <w:t>As is stated, I have already reviewed this paper in a previous public comment to UDWQ.  Here, I will add additional review and critique.</w:t>
      </w:r>
    </w:p>
    <w:p w14:paraId="7E2292D0" w14:textId="77777777" w:rsidR="00251F9F" w:rsidRPr="00251F9F" w:rsidRDefault="00251F9F" w:rsidP="00251F9F"/>
    <w:p w14:paraId="24445CD5" w14:textId="190F15EE" w:rsidR="00AE05A0" w:rsidRPr="00466654" w:rsidRDefault="005C741F" w:rsidP="00D2012F">
      <w:pPr>
        <w:pStyle w:val="Heading3"/>
      </w:pPr>
      <w:r w:rsidRPr="00466654">
        <w:t>Symptoms vs</w:t>
      </w:r>
      <w:r w:rsidR="00703C87">
        <w:t>.</w:t>
      </w:r>
      <w:r w:rsidRPr="00466654">
        <w:t xml:space="preserve"> exposure (Table 1)</w:t>
      </w:r>
    </w:p>
    <w:p w14:paraId="66A190C1" w14:textId="4749A0E3" w:rsidR="00C931BF" w:rsidRDefault="005C741F">
      <w:r>
        <w:t xml:space="preserve">No analyses were conducted by </w:t>
      </w:r>
      <w:r w:rsidR="005E4FB0">
        <w:t>Pi</w:t>
      </w:r>
      <w:r w:rsidR="00017C89">
        <w:t>l</w:t>
      </w:r>
      <w:r w:rsidR="005E4FB0">
        <w:t>otto et al. 1997</w:t>
      </w:r>
      <w:r w:rsidR="00736966">
        <w:t>a</w:t>
      </w:r>
      <w:r>
        <w:t xml:space="preserve"> to determine statistical significance between the different symptoms</w:t>
      </w:r>
      <w:r w:rsidR="00645B9C">
        <w:t xml:space="preserve"> in their Table 1</w:t>
      </w:r>
      <w:r w:rsidR="00736966">
        <w:t xml:space="preserve"> (</w:t>
      </w:r>
      <w:r w:rsidR="00736966">
        <w:fldChar w:fldCharType="begin"/>
      </w:r>
      <w:r w:rsidR="00736966">
        <w:instrText xml:space="preserve"> REF _Ref32474209 \h </w:instrText>
      </w:r>
      <w:r w:rsidR="00736966">
        <w:fldChar w:fldCharType="separate"/>
      </w:r>
      <w:r w:rsidR="00736966">
        <w:t xml:space="preserve">Table </w:t>
      </w:r>
      <w:r w:rsidR="00736966">
        <w:rPr>
          <w:noProof/>
        </w:rPr>
        <w:t>1</w:t>
      </w:r>
      <w:r w:rsidR="00736966">
        <w:fldChar w:fldCharType="end"/>
      </w:r>
      <w:r w:rsidR="00736966">
        <w:t>)</w:t>
      </w:r>
      <w:r w:rsidR="00645B9C">
        <w:t>. The</w:t>
      </w:r>
      <w:r w:rsidR="00736966">
        <w:t xml:space="preserve"> authors</w:t>
      </w:r>
      <w:r w:rsidR="00645B9C">
        <w:t xml:space="preserve"> o</w:t>
      </w:r>
      <w:r>
        <w:t xml:space="preserve">nly </w:t>
      </w:r>
      <w:r w:rsidR="00645B9C">
        <w:t xml:space="preserve">reported </w:t>
      </w:r>
      <w:r w:rsidR="00CA48BF">
        <w:t>percentages;</w:t>
      </w:r>
      <w:r w:rsidR="00645B9C">
        <w:t xml:space="preserve"> hence no conclusions can be made from this table regarding exposure effects. </w:t>
      </w:r>
      <w:r w:rsidR="00736966">
        <w:t>The authors could have easily conducted s</w:t>
      </w:r>
      <w:r w:rsidR="00466654">
        <w:t xml:space="preserve">tatistical analyses that included randomized </w:t>
      </w:r>
      <w:r w:rsidR="00F97A73">
        <w:t>re</w:t>
      </w:r>
      <w:r w:rsidR="00466654">
        <w:t xml:space="preserve">sampling </w:t>
      </w:r>
      <w:r w:rsidR="00C0517B">
        <w:t xml:space="preserve">of the data </w:t>
      </w:r>
      <w:r w:rsidR="00736966">
        <w:t>that</w:t>
      </w:r>
      <w:r w:rsidR="00645B9C">
        <w:t xml:space="preserve"> </w:t>
      </w:r>
      <w:r w:rsidR="00466654">
        <w:t xml:space="preserve">provided error rates (e.g. </w:t>
      </w:r>
      <w:r w:rsidR="00736966">
        <w:t>confidence intervals</w:t>
      </w:r>
      <w:r w:rsidR="00466654">
        <w:t xml:space="preserve">) and allowed for </w:t>
      </w:r>
      <w:r w:rsidR="00736966">
        <w:t xml:space="preserve">more rigorous </w:t>
      </w:r>
      <w:r w:rsidR="00645B9C">
        <w:t xml:space="preserve">statistical </w:t>
      </w:r>
      <w:r w:rsidR="00466654">
        <w:t>examination of effects.</w:t>
      </w:r>
      <w:r>
        <w:t xml:space="preserve"> </w:t>
      </w:r>
    </w:p>
    <w:p w14:paraId="7B0AA92F" w14:textId="77777777" w:rsidR="00C931BF" w:rsidRDefault="00C931BF"/>
    <w:p w14:paraId="4EDC7148" w14:textId="5B78A9B7" w:rsidR="00645B9C" w:rsidRDefault="00D96664">
      <w:r>
        <w:t xml:space="preserve">One major problem was the very small sample sizes used with unexposed compared to exposed in both groups (Table 1). There were more than 10 times the number of exposed participants compared with unexposed participants in the “All participants’ group and almost 7 times as many exposed participants compared to unexposed participants in the “After exclusion” group (Table 1). Statistical conclusions based on such uneven sample sizes need to account for this </w:t>
      </w:r>
      <w:r w:rsidR="006547FB">
        <w:t>bias</w:t>
      </w:r>
      <w:r w:rsidR="00EE0568">
        <w:t xml:space="preserve">, especially when concluding </w:t>
      </w:r>
      <w:r w:rsidR="00F97A73">
        <w:t xml:space="preserve">significant </w:t>
      </w:r>
      <w:r w:rsidR="00EE0568">
        <w:t xml:space="preserve">effects of only one or two percentage points </w:t>
      </w:r>
      <w:r w:rsidR="00EE0568">
        <w:lastRenderedPageBreak/>
        <w:t>(</w:t>
      </w:r>
      <w:r w:rsidR="00FF0EC6">
        <w:t>Table1)</w:t>
      </w:r>
      <w:r w:rsidR="006547FB">
        <w:t xml:space="preserve">. </w:t>
      </w:r>
      <w:r w:rsidR="00C931BF">
        <w:t>W</w:t>
      </w:r>
      <w:r w:rsidR="005B0A82">
        <w:t>ithout a statistical test</w:t>
      </w:r>
      <w:r w:rsidR="00EE0568">
        <w:t>,</w:t>
      </w:r>
      <w:r w:rsidR="005B0A82">
        <w:t xml:space="preserve"> given</w:t>
      </w:r>
      <w:r w:rsidR="00466654">
        <w:t xml:space="preserve"> </w:t>
      </w:r>
      <w:r w:rsidR="006547FB">
        <w:t xml:space="preserve">the </w:t>
      </w:r>
      <w:r w:rsidR="00C931BF">
        <w:t xml:space="preserve">likely </w:t>
      </w:r>
      <w:r w:rsidR="00645B9C">
        <w:t xml:space="preserve">random error in any of the eight symptoms </w:t>
      </w:r>
      <w:r w:rsidR="005B0A82">
        <w:t>and</w:t>
      </w:r>
      <w:r w:rsidR="00645B9C">
        <w:t xml:space="preserve"> the very uneven sample sizes of the unexposed group compared with the exposed groups </w:t>
      </w:r>
      <w:r w:rsidR="005B0A82">
        <w:t>before and after exclusion</w:t>
      </w:r>
      <w:r w:rsidR="00645B9C">
        <w:t xml:space="preserve"> </w:t>
      </w:r>
      <w:r w:rsidR="00466654">
        <w:t>(Table1)</w:t>
      </w:r>
      <w:r w:rsidR="00EE0568">
        <w:t>,</w:t>
      </w:r>
      <w:r w:rsidR="00C931BF">
        <w:t xml:space="preserve"> no valid conclusions could have been made by the authors</w:t>
      </w:r>
      <w:r w:rsidR="00466654">
        <w:t>.</w:t>
      </w:r>
      <w:r w:rsidR="00C6713F">
        <w:t xml:space="preserve"> </w:t>
      </w:r>
      <w:r w:rsidR="00AA6D06">
        <w:t>However,</w:t>
      </w:r>
      <w:r w:rsidR="00C931BF">
        <w:t xml:space="preserve"> if they would have performed</w:t>
      </w:r>
      <w:r w:rsidR="00AA6D06">
        <w:t xml:space="preserve"> a</w:t>
      </w:r>
      <w:r w:rsidR="00B949C3">
        <w:t xml:space="preserve"> simple Kruskal-Wallis </w:t>
      </w:r>
      <w:r w:rsidR="00AA6D06">
        <w:t xml:space="preserve">rank test </w:t>
      </w:r>
      <w:r w:rsidR="00736966">
        <w:t xml:space="preserve">(with ties) </w:t>
      </w:r>
      <w:r w:rsidR="00AA6D06">
        <w:t xml:space="preserve">on the percent unexposed after exclusion vs the percent exposed after exclusion </w:t>
      </w:r>
      <w:r w:rsidR="00C931BF">
        <w:t xml:space="preserve">the test </w:t>
      </w:r>
      <w:r w:rsidR="00AA6D06">
        <w:t xml:space="preserve">would have resulted in a </w:t>
      </w:r>
      <m:oMath>
        <m:r>
          <w:rPr>
            <w:rFonts w:ascii="Cambria Math" w:hAnsi="Cambria Math"/>
            <w:sz w:val="20"/>
            <w:szCs w:val="20"/>
          </w:rPr>
          <m:t xml:space="preserve">χ2 </m:t>
        </m:r>
      </m:oMath>
      <w:r w:rsidR="00AA6D06">
        <w:t>= 2.68 with 1 d.f. and a p = 0.10 (with ties). These results would suggest</w:t>
      </w:r>
      <w:r w:rsidR="00C931BF">
        <w:t>, statistically,</w:t>
      </w:r>
      <w:r w:rsidR="00AA6D06">
        <w:t xml:space="preserve"> that there </w:t>
      </w:r>
      <w:r w:rsidR="00C931BF">
        <w:t xml:space="preserve">was likely no </w:t>
      </w:r>
      <w:r w:rsidR="00AA6D06">
        <w:t xml:space="preserve">strong exposure </w:t>
      </w:r>
      <w:r w:rsidR="005B0A82">
        <w:t xml:space="preserve">effect and </w:t>
      </w:r>
      <w:r w:rsidR="00FF0EC6">
        <w:t xml:space="preserve">much </w:t>
      </w:r>
      <w:r w:rsidR="005B0A82">
        <w:t xml:space="preserve">less confidence in concluding </w:t>
      </w:r>
      <w:r w:rsidR="00FF0EC6">
        <w:t xml:space="preserve">that there was </w:t>
      </w:r>
      <w:r w:rsidR="005B0A82">
        <w:t>an effect.</w:t>
      </w:r>
    </w:p>
    <w:p w14:paraId="79B33C20" w14:textId="6C1682D8" w:rsidR="00C931BF" w:rsidRDefault="00C931BF"/>
    <w:p w14:paraId="36A695F9" w14:textId="3935B2CD" w:rsidR="00C931BF" w:rsidRDefault="006547FB">
      <w:r>
        <w:t>Also, m</w:t>
      </w:r>
      <w:r w:rsidR="00C931BF">
        <w:t>anagement agencies or the public could</w:t>
      </w:r>
      <w:r w:rsidR="009D397A">
        <w:t xml:space="preserve"> </w:t>
      </w:r>
      <w:r w:rsidR="00C931BF">
        <w:t xml:space="preserve">unwisely conclude that exposure to cyanobacteria may actually </w:t>
      </w:r>
      <w:r>
        <w:t>reduce</w:t>
      </w:r>
      <w:r w:rsidR="00C931BF">
        <w:t xml:space="preserve"> eye irritation based on a superficial examination of their Table 1 (</w:t>
      </w:r>
      <w:r w:rsidR="00C931BF">
        <w:fldChar w:fldCharType="begin"/>
      </w:r>
      <w:r w:rsidR="00C931BF">
        <w:instrText xml:space="preserve"> REF _Ref32474209 \h </w:instrText>
      </w:r>
      <w:r w:rsidR="00C931BF">
        <w:fldChar w:fldCharType="separate"/>
      </w:r>
      <w:r w:rsidR="00C931BF">
        <w:t xml:space="preserve">Table </w:t>
      </w:r>
      <w:r w:rsidR="00C931BF">
        <w:rPr>
          <w:noProof/>
        </w:rPr>
        <w:t>1</w:t>
      </w:r>
      <w:r w:rsidR="00C931BF">
        <w:fldChar w:fldCharType="end"/>
      </w:r>
      <w:r w:rsidR="00C931BF">
        <w:t xml:space="preserve">). In their </w:t>
      </w:r>
      <w:r w:rsidR="009D397A">
        <w:t>T</w:t>
      </w:r>
      <w:r w:rsidR="00C931BF">
        <w:t>able 1</w:t>
      </w:r>
      <w:r w:rsidR="009D397A">
        <w:t xml:space="preserve"> (</w:t>
      </w:r>
      <w:r w:rsidR="009D397A">
        <w:fldChar w:fldCharType="begin"/>
      </w:r>
      <w:r w:rsidR="009D397A">
        <w:instrText xml:space="preserve"> REF _Ref32474209 \h </w:instrText>
      </w:r>
      <w:r w:rsidR="009D397A">
        <w:fldChar w:fldCharType="separate"/>
      </w:r>
      <w:r w:rsidR="009D397A">
        <w:t xml:space="preserve">Table </w:t>
      </w:r>
      <w:r w:rsidR="009D397A">
        <w:rPr>
          <w:noProof/>
        </w:rPr>
        <w:t>1</w:t>
      </w:r>
      <w:r w:rsidR="009D397A">
        <w:fldChar w:fldCharType="end"/>
      </w:r>
      <w:r w:rsidR="009D397A">
        <w:t>)</w:t>
      </w:r>
      <w:r w:rsidR="00C931BF">
        <w:t xml:space="preserve">, eye irritation decreased by 1% after exposure in both the ‘All participants’ group and the ‘After exclusion’ group.  </w:t>
      </w:r>
      <w:r>
        <w:t>Such small changes in percentages should always be evaluated with caution.</w:t>
      </w:r>
    </w:p>
    <w:p w14:paraId="2BA8BAC7" w14:textId="0312415C" w:rsidR="00736966" w:rsidRDefault="00736966"/>
    <w:p w14:paraId="6E620A76" w14:textId="3FE2A43D" w:rsidR="00736966" w:rsidRDefault="00736966" w:rsidP="00736966">
      <w:pPr>
        <w:pStyle w:val="Caption"/>
      </w:pPr>
      <w:bookmarkStart w:id="1" w:name="_Ref32474209"/>
      <w:r>
        <w:t xml:space="preserve">Table </w:t>
      </w:r>
      <w:r w:rsidR="00594282">
        <w:fldChar w:fldCharType="begin"/>
      </w:r>
      <w:r w:rsidR="00594282">
        <w:instrText xml:space="preserve"> SEQ Table \* ARABIC </w:instrText>
      </w:r>
      <w:r w:rsidR="00594282">
        <w:fldChar w:fldCharType="separate"/>
      </w:r>
      <w:r>
        <w:rPr>
          <w:noProof/>
        </w:rPr>
        <w:t>1</w:t>
      </w:r>
      <w:r w:rsidR="00594282">
        <w:rPr>
          <w:noProof/>
        </w:rPr>
        <w:fldChar w:fldCharType="end"/>
      </w:r>
      <w:bookmarkEnd w:id="1"/>
      <w:r>
        <w:t>. Table 1 from Pilotto et al. 1997.</w:t>
      </w:r>
    </w:p>
    <w:p w14:paraId="01EA9211" w14:textId="231A52EB" w:rsidR="00736966" w:rsidRDefault="00736966">
      <w:r w:rsidRPr="00736966">
        <w:rPr>
          <w:noProof/>
        </w:rPr>
        <w:drawing>
          <wp:inline distT="0" distB="0" distL="0" distR="0" wp14:anchorId="43EBC63B" wp14:editId="4AE97077">
            <wp:extent cx="5943600" cy="2492375"/>
            <wp:effectExtent l="0" t="0" r="0" b="0"/>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2492375"/>
                    </a:xfrm>
                    <a:prstGeom prst="rect">
                      <a:avLst/>
                    </a:prstGeom>
                  </pic:spPr>
                </pic:pic>
              </a:graphicData>
            </a:graphic>
          </wp:inline>
        </w:drawing>
      </w:r>
    </w:p>
    <w:p w14:paraId="34E3496A" w14:textId="4B56F34B" w:rsidR="00736966" w:rsidRDefault="00736966"/>
    <w:p w14:paraId="35A111B0" w14:textId="14F8353B" w:rsidR="00817696" w:rsidRDefault="005B0A82">
      <w:r>
        <w:t xml:space="preserve">As </w:t>
      </w:r>
      <w:r w:rsidR="00D96664">
        <w:t xml:space="preserve">another </w:t>
      </w:r>
      <w:r>
        <w:t>example, e</w:t>
      </w:r>
      <w:r w:rsidR="00C6713F">
        <w:t xml:space="preserve">ar irritation, </w:t>
      </w:r>
      <w:r w:rsidR="00466654">
        <w:t>as with all of the types of symptoms listed in Table 1</w:t>
      </w:r>
      <w:r w:rsidR="00187E9D" w:rsidRPr="00187E9D">
        <w:t xml:space="preserve"> </w:t>
      </w:r>
      <w:r w:rsidR="00C6713F">
        <w:t>(</w:t>
      </w:r>
      <w:r w:rsidR="00187E9D">
        <w:t>Pi</w:t>
      </w:r>
      <w:r w:rsidR="00295E77">
        <w:t>l</w:t>
      </w:r>
      <w:r w:rsidR="00187E9D">
        <w:t>otto et al 1997</w:t>
      </w:r>
      <w:r w:rsidR="00C6713F">
        <w:t>),</w:t>
      </w:r>
      <w:r w:rsidR="00466654">
        <w:t xml:space="preserve"> </w:t>
      </w:r>
      <w:r w:rsidR="005C741F">
        <w:t>can also be caused</w:t>
      </w:r>
      <w:r w:rsidR="00466654">
        <w:t xml:space="preserve"> by other factors.</w:t>
      </w:r>
      <w:r w:rsidR="00C6713F">
        <w:t xml:space="preserve"> </w:t>
      </w:r>
      <w:r w:rsidR="00466654">
        <w:t xml:space="preserve">Swimming in the ocean or a swimming pool often causes ear infections regardless of whether cyanobacteria are present or not. </w:t>
      </w:r>
      <w:r w:rsidR="00CA48BF">
        <w:t>Obviously,</w:t>
      </w:r>
      <w:r w:rsidR="00466654">
        <w:t xml:space="preserve"> someone who didn’t swim would likely have not gotten ear irritation as opposed to someone who went swimming </w:t>
      </w:r>
      <w:r w:rsidR="00CD6DE4">
        <w:t>anywhere prior.</w:t>
      </w:r>
      <w:r w:rsidR="000C0692">
        <w:t xml:space="preserve"> </w:t>
      </w:r>
      <w:r w:rsidR="00AA6D06">
        <w:t xml:space="preserve">A more useful study would have included participants who had recreational water contact in </w:t>
      </w:r>
      <w:r w:rsidR="00386DA8">
        <w:t>non-cyanobacteria</w:t>
      </w:r>
      <w:r w:rsidR="00AA6D06">
        <w:t xml:space="preserve"> waters (e.g. swimming pools, ocean, etc.)  In all likelihood </w:t>
      </w:r>
      <w:r>
        <w:t>a significant proportion of the population</w:t>
      </w:r>
      <w:r w:rsidR="006547FB">
        <w:t xml:space="preserve"> </w:t>
      </w:r>
      <w:r w:rsidR="00AA6D06">
        <w:t>that went swimming in a public pool free of cyanobacteria</w:t>
      </w:r>
      <w:r>
        <w:t xml:space="preserve"> or in the ocean</w:t>
      </w:r>
      <w:r w:rsidR="00AA6D06">
        <w:t xml:space="preserve"> would have exhibited some of these </w:t>
      </w:r>
      <w:r w:rsidR="00FF0EC6">
        <w:t>symptoms (</w:t>
      </w:r>
      <w:r w:rsidR="006547FB">
        <w:t>in the Pilotto et al case &gt; 2%, Table 1)</w:t>
      </w:r>
      <w:r w:rsidR="00AA6D06">
        <w:t xml:space="preserve">. </w:t>
      </w:r>
    </w:p>
    <w:p w14:paraId="6A1DAA2D" w14:textId="77777777" w:rsidR="006547FB" w:rsidRDefault="006547FB"/>
    <w:p w14:paraId="7F9CD3C9" w14:textId="50545134" w:rsidR="00817696" w:rsidRDefault="00817696" w:rsidP="00817696">
      <w:r>
        <w:t>Here is a quote from WebMD (</w:t>
      </w:r>
      <w:hyperlink r:id="rId10" w:history="1">
        <w:r w:rsidRPr="00613C5D">
          <w:rPr>
            <w:rStyle w:val="Hyperlink"/>
          </w:rPr>
          <w:t>www.webmd.com)</w:t>
        </w:r>
      </w:hyperlink>
      <w:r>
        <w:t xml:space="preserve"> titled, </w:t>
      </w:r>
      <w:r w:rsidR="006547FB">
        <w:t>“</w:t>
      </w:r>
      <w:r>
        <w:t>Beware of Recreational Water Illnesses</w:t>
      </w:r>
      <w:r w:rsidR="006547FB">
        <w:t>”</w:t>
      </w:r>
      <w:r>
        <w:t>:</w:t>
      </w:r>
    </w:p>
    <w:p w14:paraId="3DBF0D99" w14:textId="46973D51" w:rsidR="00817696" w:rsidRDefault="00817696" w:rsidP="00817696">
      <w:pPr>
        <w:ind w:left="432"/>
      </w:pPr>
      <w:r>
        <w:lastRenderedPageBreak/>
        <w:t>“</w:t>
      </w:r>
      <w:r w:rsidRPr="00817696">
        <w:t>R</w:t>
      </w:r>
      <w:r>
        <w:t>ecreational water illnesses</w:t>
      </w:r>
      <w:r w:rsidRPr="00817696">
        <w:t xml:space="preserve"> </w:t>
      </w:r>
      <w:r w:rsidR="006547FB" w:rsidRPr="00817696">
        <w:t>refer</w:t>
      </w:r>
      <w:r w:rsidRPr="00817696">
        <w:t xml:space="preserve"> to any illness or infection caused by organisms that contaminate water in pools, lakes, hot tubs, and oceans, resulting in diarrhea, skin rashes, swimmer's ear, and other conditions. And they are on the rise. The rate has more than doubled in the past 10 years, according to data from the CDC. </w:t>
      </w:r>
      <w:r>
        <w:t>Infection-producing germs that can lurk in water include Pseudomonas aeruginosa, which causes swimmer's ear (an infection of the outer ear canal, known medically as otitis externa) and skin rash (dermatitis). Others include cryptosporidium, Giardia lamblia, shigella, and E. coli, which can cause diarrhea. Each year, 10,000 RWI cases of diarrhea and 6.2 million cases of swimmer's ear occur, according to the CDC. "You can catch respiratory illnesses and colds but by far, skin rashes, swimmer's ear, and gastrointestinal bugs are the most common," he says. Diarrhea may occur when contaminated water is swallowed and driven into the mouth or nose, Greene explains. It may not begin immediately after a swim; sometimes it comes on one to two weeks later”.</w:t>
      </w:r>
    </w:p>
    <w:p w14:paraId="7D1D8665" w14:textId="77777777" w:rsidR="00817696" w:rsidRDefault="00817696"/>
    <w:p w14:paraId="1EF1DC73" w14:textId="33182F1C" w:rsidR="005C741F" w:rsidRDefault="009476D4">
      <w:r>
        <w:t>Symptoms</w:t>
      </w:r>
      <w:r w:rsidR="000C0692">
        <w:t xml:space="preserve"> listed in </w:t>
      </w:r>
      <w:r w:rsidR="00AA6D06">
        <w:t>Pilotto et al 1997</w:t>
      </w:r>
      <w:r w:rsidR="006547FB">
        <w:t>a</w:t>
      </w:r>
      <w:r w:rsidR="00AA6D06">
        <w:t xml:space="preserve">, </w:t>
      </w:r>
      <w:r w:rsidR="000C0692">
        <w:t xml:space="preserve">Table 1 need to be </w:t>
      </w:r>
      <w:r w:rsidR="00AA6D06">
        <w:t xml:space="preserve">carefully </w:t>
      </w:r>
      <w:r w:rsidR="000C0692">
        <w:t xml:space="preserve">reevaluated </w:t>
      </w:r>
      <w:r w:rsidR="00017C89">
        <w:t xml:space="preserve">by UDWQ </w:t>
      </w:r>
      <w:r w:rsidR="000C0692">
        <w:t>for usefulness and relevance</w:t>
      </w:r>
      <w:r w:rsidR="00817696">
        <w:t xml:space="preserve"> to cyanobacteria blooms</w:t>
      </w:r>
      <w:r w:rsidR="000C0692">
        <w:t>.</w:t>
      </w:r>
      <w:r w:rsidR="00017C89">
        <w:t xml:space="preserve"> </w:t>
      </w:r>
    </w:p>
    <w:p w14:paraId="44D71FC5" w14:textId="77777777" w:rsidR="005C741F" w:rsidRDefault="005C741F"/>
    <w:p w14:paraId="3C22ADD6" w14:textId="3DB92B40" w:rsidR="003E410D" w:rsidRPr="00466654" w:rsidRDefault="003E410D" w:rsidP="00D2012F">
      <w:pPr>
        <w:pStyle w:val="Heading3"/>
      </w:pPr>
      <w:r w:rsidRPr="00466654">
        <w:t>Odds Ratios</w:t>
      </w:r>
      <w:r w:rsidR="00386DA8">
        <w:rPr>
          <w:rStyle w:val="FootnoteReference"/>
          <w:b/>
        </w:rPr>
        <w:footnoteReference w:id="1"/>
      </w:r>
    </w:p>
    <w:p w14:paraId="03E73986" w14:textId="1F0590B0" w:rsidR="00144A6D" w:rsidRDefault="003E410D">
      <w:r>
        <w:t xml:space="preserve">There was an </w:t>
      </w:r>
      <w:r w:rsidR="00386DA8">
        <w:t xml:space="preserve">apparent </w:t>
      </w:r>
      <w:r>
        <w:t>error in the odds ratios reported for Model 1: exposure, after exclusion</w:t>
      </w:r>
      <w:r w:rsidR="00144A6D">
        <w:t xml:space="preserve"> (Table 2</w:t>
      </w:r>
      <w:r w:rsidR="00187E9D" w:rsidRPr="00187E9D">
        <w:t xml:space="preserve"> </w:t>
      </w:r>
      <w:r w:rsidR="00187E9D">
        <w:t>Pi</w:t>
      </w:r>
      <w:r w:rsidR="00FF0EC6">
        <w:t>l</w:t>
      </w:r>
      <w:r w:rsidR="00187E9D">
        <w:t xml:space="preserve">otto et al </w:t>
      </w:r>
      <w:r w:rsidR="00191D45">
        <w:t>1997) (</w:t>
      </w:r>
      <w:r w:rsidR="00191D45">
        <w:fldChar w:fldCharType="begin"/>
      </w:r>
      <w:r w:rsidR="00191D45">
        <w:instrText xml:space="preserve"> REF _Ref32476630 \h </w:instrText>
      </w:r>
      <w:r w:rsidR="00191D45">
        <w:fldChar w:fldCharType="separate"/>
      </w:r>
      <w:r w:rsidR="00191D45">
        <w:t xml:space="preserve">Table </w:t>
      </w:r>
      <w:r w:rsidR="00191D45">
        <w:rPr>
          <w:noProof/>
        </w:rPr>
        <w:t>2</w:t>
      </w:r>
      <w:r w:rsidR="00191D45">
        <w:fldChar w:fldCharType="end"/>
      </w:r>
      <w:r w:rsidR="00191D45">
        <w:t xml:space="preserve"> this comment letter)</w:t>
      </w:r>
      <w:r>
        <w:t>.</w:t>
      </w:r>
      <w:r w:rsidR="00C6713F">
        <w:t xml:space="preserve"> </w:t>
      </w:r>
      <w:r>
        <w:t xml:space="preserve">The upper 95% CI value was reported as 1.54 which was </w:t>
      </w:r>
      <w:r w:rsidR="00144A6D">
        <w:t>less</w:t>
      </w:r>
      <w:r>
        <w:t xml:space="preserve"> than the mean value reported of 1.87</w:t>
      </w:r>
      <w:r w:rsidR="004C0F28">
        <w:t xml:space="preserve"> (</w:t>
      </w:r>
      <w:r w:rsidR="00191D45" w:rsidRPr="00191D45">
        <w:fldChar w:fldCharType="begin"/>
      </w:r>
      <w:r w:rsidR="00191D45" w:rsidRPr="00191D45">
        <w:instrText xml:space="preserve"> REF _Ref32476764 \h </w:instrText>
      </w:r>
      <w:r w:rsidR="00191D45">
        <w:instrText xml:space="preserve"> \* MERGEFORMAT </w:instrText>
      </w:r>
      <w:r w:rsidR="00191D45" w:rsidRPr="00191D45">
        <w:fldChar w:fldCharType="separate"/>
      </w:r>
      <w:r w:rsidR="00191D45" w:rsidRPr="00191D45">
        <w:t xml:space="preserve">Figure </w:t>
      </w:r>
      <w:r w:rsidR="00191D45" w:rsidRPr="00191D45">
        <w:rPr>
          <w:noProof/>
        </w:rPr>
        <w:t>1</w:t>
      </w:r>
      <w:r w:rsidR="00191D45" w:rsidRPr="00191D45">
        <w:fldChar w:fldCharType="end"/>
      </w:r>
      <w:r w:rsidR="00191D45" w:rsidRPr="00191D45">
        <w:t xml:space="preserve"> </w:t>
      </w:r>
      <w:r w:rsidR="005E4FB0" w:rsidRPr="00191D45">
        <w:t>in this</w:t>
      </w:r>
      <w:r w:rsidR="005E4FB0">
        <w:t xml:space="preserve"> critique</w:t>
      </w:r>
      <w:r w:rsidR="004C0F28">
        <w:t>)</w:t>
      </w:r>
      <w:r>
        <w:t>.</w:t>
      </w:r>
      <w:r w:rsidR="00C6713F">
        <w:t xml:space="preserve"> </w:t>
      </w:r>
      <w:r w:rsidR="002F2370">
        <w:t xml:space="preserve">Given that there were twelve authors in Pilotto et al. 1997a and likely several reviewers before publication, this </w:t>
      </w:r>
      <w:r w:rsidR="00FF0EC6">
        <w:t xml:space="preserve">obvious error </w:t>
      </w:r>
      <w:r w:rsidR="002F2370">
        <w:t xml:space="preserve">should have been </w:t>
      </w:r>
      <w:r w:rsidR="00191D45">
        <w:t>corrected</w:t>
      </w:r>
      <w:r w:rsidR="003264AF">
        <w:t>.</w:t>
      </w:r>
      <w:r w:rsidR="002F2370">
        <w:t xml:space="preserve"> </w:t>
      </w:r>
      <w:r w:rsidR="003264AF">
        <w:t>Unfortunately, this error in Model 1: exposure for the “after exclusion” group invalidates its use.</w:t>
      </w:r>
    </w:p>
    <w:p w14:paraId="6B9D4230" w14:textId="0B011251" w:rsidR="00D96664" w:rsidRDefault="00D96664"/>
    <w:p w14:paraId="015EF578" w14:textId="77777777" w:rsidR="00D96664" w:rsidRDefault="00D96664" w:rsidP="00D96664">
      <w:pPr>
        <w:pStyle w:val="Caption"/>
      </w:pPr>
      <w:bookmarkStart w:id="2" w:name="_Ref32476630"/>
      <w:r>
        <w:t xml:space="preserve">Table </w:t>
      </w:r>
      <w:r w:rsidR="00594282">
        <w:fldChar w:fldCharType="begin"/>
      </w:r>
      <w:r w:rsidR="00594282">
        <w:instrText xml:space="preserve"> SEQ Table \* ARABIC </w:instrText>
      </w:r>
      <w:r w:rsidR="00594282">
        <w:fldChar w:fldCharType="separate"/>
      </w:r>
      <w:r>
        <w:rPr>
          <w:noProof/>
        </w:rPr>
        <w:t>2</w:t>
      </w:r>
      <w:r w:rsidR="00594282">
        <w:rPr>
          <w:noProof/>
        </w:rPr>
        <w:fldChar w:fldCharType="end"/>
      </w:r>
      <w:bookmarkEnd w:id="2"/>
      <w:r>
        <w:t>. Table 2 from Pilotto et al. 1997.</w:t>
      </w:r>
    </w:p>
    <w:p w14:paraId="4328700A" w14:textId="3B51B6AA" w:rsidR="00D96664" w:rsidRDefault="00D96664">
      <w:r w:rsidRPr="00736966">
        <w:rPr>
          <w:noProof/>
        </w:rPr>
        <w:lastRenderedPageBreak/>
        <w:drawing>
          <wp:inline distT="0" distB="0" distL="0" distR="0" wp14:anchorId="26925854" wp14:editId="57535639">
            <wp:extent cx="5943600" cy="3351530"/>
            <wp:effectExtent l="0" t="0" r="0" b="1270"/>
            <wp:docPr id="1" name="Picture 1" descr="A close up of text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351530"/>
                    </a:xfrm>
                    <a:prstGeom prst="rect">
                      <a:avLst/>
                    </a:prstGeom>
                  </pic:spPr>
                </pic:pic>
              </a:graphicData>
            </a:graphic>
          </wp:inline>
        </w:drawing>
      </w:r>
    </w:p>
    <w:p w14:paraId="208E61BA" w14:textId="77777777" w:rsidR="00144A6D" w:rsidRDefault="00144A6D"/>
    <w:p w14:paraId="1973C69B" w14:textId="77777777" w:rsidR="003E410D" w:rsidRDefault="003E410D"/>
    <w:p w14:paraId="2D6FBEEE" w14:textId="5E7E4C0A" w:rsidR="00B13BDE" w:rsidRDefault="00D74203" w:rsidP="00D2012F">
      <w:pPr>
        <w:jc w:val="center"/>
      </w:pPr>
      <w:r>
        <w:rPr>
          <w:noProof/>
        </w:rPr>
        <w:drawing>
          <wp:inline distT="0" distB="0" distL="0" distR="0" wp14:anchorId="2E381205" wp14:editId="640EDD0F">
            <wp:extent cx="4345289" cy="316021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odel 1 Picotto et al 1997.eps"/>
                    <pic:cNvPicPr/>
                  </pic:nvPicPr>
                  <pic:blipFill>
                    <a:blip r:embed="rId12">
                      <a:extLst>
                        <a:ext uri="{28A0092B-C50C-407E-A947-70E740481C1C}">
                          <a14:useLocalDpi xmlns:a14="http://schemas.microsoft.com/office/drawing/2010/main" val="0"/>
                        </a:ext>
                      </a:extLst>
                    </a:blip>
                    <a:stretch>
                      <a:fillRect/>
                    </a:stretch>
                  </pic:blipFill>
                  <pic:spPr>
                    <a:xfrm>
                      <a:off x="0" y="0"/>
                      <a:ext cx="4355868" cy="3167903"/>
                    </a:xfrm>
                    <a:prstGeom prst="rect">
                      <a:avLst/>
                    </a:prstGeom>
                  </pic:spPr>
                </pic:pic>
              </a:graphicData>
            </a:graphic>
          </wp:inline>
        </w:drawing>
      </w:r>
    </w:p>
    <w:p w14:paraId="23AD1767" w14:textId="113CD221" w:rsidR="007C000D" w:rsidRPr="00191D45" w:rsidRDefault="00191D45" w:rsidP="00191D45">
      <w:pPr>
        <w:pStyle w:val="Caption"/>
      </w:pPr>
      <w:bookmarkStart w:id="3" w:name="_Ref32476764"/>
      <w:r w:rsidRPr="00191D45">
        <w:rPr>
          <w:sz w:val="20"/>
          <w:szCs w:val="20"/>
        </w:rPr>
        <w:t xml:space="preserve">Figure </w:t>
      </w:r>
      <w:r w:rsidRPr="00191D45">
        <w:rPr>
          <w:sz w:val="20"/>
          <w:szCs w:val="20"/>
        </w:rPr>
        <w:fldChar w:fldCharType="begin"/>
      </w:r>
      <w:r w:rsidRPr="00191D45">
        <w:rPr>
          <w:sz w:val="20"/>
          <w:szCs w:val="20"/>
        </w:rPr>
        <w:instrText xml:space="preserve"> SEQ Figure \* ARABIC </w:instrText>
      </w:r>
      <w:r w:rsidRPr="00191D45">
        <w:rPr>
          <w:sz w:val="20"/>
          <w:szCs w:val="20"/>
        </w:rPr>
        <w:fldChar w:fldCharType="separate"/>
      </w:r>
      <w:r>
        <w:rPr>
          <w:noProof/>
          <w:sz w:val="20"/>
          <w:szCs w:val="20"/>
        </w:rPr>
        <w:t>1</w:t>
      </w:r>
      <w:r w:rsidRPr="00191D45">
        <w:rPr>
          <w:sz w:val="20"/>
          <w:szCs w:val="20"/>
        </w:rPr>
        <w:fldChar w:fldCharType="end"/>
      </w:r>
      <w:bookmarkEnd w:id="3"/>
      <w:r w:rsidRPr="00191D45">
        <w:rPr>
          <w:sz w:val="20"/>
          <w:szCs w:val="20"/>
        </w:rPr>
        <w:t>.</w:t>
      </w:r>
      <w:r>
        <w:t xml:space="preserve"> </w:t>
      </w:r>
      <w:r w:rsidR="0088527D" w:rsidRPr="00703C87">
        <w:rPr>
          <w:sz w:val="20"/>
          <w:szCs w:val="20"/>
        </w:rPr>
        <w:t xml:space="preserve">Mean and 95% CIs of odds rations for Model 1: unexposed vs. exposed. There </w:t>
      </w:r>
      <w:r w:rsidR="00295E77" w:rsidRPr="00703C87">
        <w:rPr>
          <w:sz w:val="20"/>
          <w:szCs w:val="20"/>
        </w:rPr>
        <w:t>were</w:t>
      </w:r>
      <w:r w:rsidR="00901875" w:rsidRPr="00703C87">
        <w:rPr>
          <w:sz w:val="20"/>
          <w:szCs w:val="20"/>
        </w:rPr>
        <w:t xml:space="preserve"> </w:t>
      </w:r>
      <w:r w:rsidRPr="00191D45">
        <w:rPr>
          <w:b/>
          <w:bCs/>
          <w:sz w:val="20"/>
          <w:szCs w:val="20"/>
        </w:rPr>
        <w:t>n</w:t>
      </w:r>
      <w:r w:rsidR="00901875" w:rsidRPr="00191D45">
        <w:rPr>
          <w:b/>
          <w:bCs/>
          <w:sz w:val="20"/>
          <w:szCs w:val="20"/>
        </w:rPr>
        <w:t>o</w:t>
      </w:r>
      <w:r w:rsidR="00901875" w:rsidRPr="00703C87">
        <w:rPr>
          <w:sz w:val="20"/>
          <w:szCs w:val="20"/>
        </w:rPr>
        <w:t xml:space="preserve"> statistically </w:t>
      </w:r>
      <w:r w:rsidR="0088527D" w:rsidRPr="00703C87">
        <w:rPr>
          <w:sz w:val="20"/>
          <w:szCs w:val="20"/>
        </w:rPr>
        <w:t>significant</w:t>
      </w:r>
      <w:r w:rsidR="00901875" w:rsidRPr="00703C87">
        <w:rPr>
          <w:sz w:val="20"/>
          <w:szCs w:val="20"/>
        </w:rPr>
        <w:t xml:space="preserve"> differences between </w:t>
      </w:r>
      <w:r w:rsidR="0088527D" w:rsidRPr="00703C87">
        <w:rPr>
          <w:sz w:val="20"/>
          <w:szCs w:val="20"/>
        </w:rPr>
        <w:t>unexposed and expose (i.e.</w:t>
      </w:r>
      <w:r w:rsidR="00901875" w:rsidRPr="00703C87">
        <w:rPr>
          <w:sz w:val="20"/>
          <w:szCs w:val="20"/>
        </w:rPr>
        <w:t xml:space="preserve"> 95% CIs of</w:t>
      </w:r>
      <w:r w:rsidR="0088527D" w:rsidRPr="00703C87">
        <w:rPr>
          <w:sz w:val="20"/>
          <w:szCs w:val="20"/>
        </w:rPr>
        <w:t xml:space="preserve"> exposed overlapped the unexposed odds ratio of 1.00.</w:t>
      </w:r>
      <w:r w:rsidR="00C6713F">
        <w:rPr>
          <w:sz w:val="20"/>
          <w:szCs w:val="20"/>
        </w:rPr>
        <w:t xml:space="preserve"> </w:t>
      </w:r>
      <w:r w:rsidR="0088527D" w:rsidRPr="00703C87">
        <w:rPr>
          <w:sz w:val="20"/>
          <w:szCs w:val="20"/>
        </w:rPr>
        <w:t>Also, there was an editorial error of the mean and upper 95% CI for exposed group that was not adjusted for in this figure.</w:t>
      </w:r>
      <w:r w:rsidR="00703C87" w:rsidRPr="00703C87">
        <w:rPr>
          <w:sz w:val="20"/>
          <w:szCs w:val="20"/>
        </w:rPr>
        <w:t xml:space="preserve"> The odds ratio scale was modified to </w:t>
      </w:r>
      <w:r w:rsidR="001B7865">
        <w:rPr>
          <w:sz w:val="20"/>
          <w:szCs w:val="20"/>
        </w:rPr>
        <w:t>scale</w:t>
      </w:r>
      <w:r w:rsidR="00703C87" w:rsidRPr="00703C87">
        <w:rPr>
          <w:sz w:val="20"/>
          <w:szCs w:val="20"/>
        </w:rPr>
        <w:t xml:space="preserve"> for values &lt; 1.00.</w:t>
      </w:r>
    </w:p>
    <w:p w14:paraId="24A4D44E" w14:textId="77777777" w:rsidR="00CD6DE4" w:rsidRDefault="00CD6DE4"/>
    <w:p w14:paraId="7A2011A4" w14:textId="41C0FD9D" w:rsidR="00191D45" w:rsidRDefault="00191D45" w:rsidP="00191D45">
      <w:r>
        <w:t xml:space="preserve">I created figures of the odds ratio data reported by Pilotto et al 1997a </w:t>
      </w:r>
      <w:proofErr w:type="gramStart"/>
      <w:r>
        <w:t>for  Models</w:t>
      </w:r>
      <w:proofErr w:type="gramEnd"/>
      <w:r>
        <w:t xml:space="preserve"> 1, 3 and 4 to illustrate the shortcomings of their </w:t>
      </w:r>
      <w:r w:rsidRPr="00191D45">
        <w:t>analyses (</w:t>
      </w:r>
      <w:r w:rsidRPr="00191D45">
        <w:fldChar w:fldCharType="begin"/>
      </w:r>
      <w:r w:rsidRPr="00191D45">
        <w:instrText xml:space="preserve"> REF _Ref32476764 \h </w:instrText>
      </w:r>
      <w:r>
        <w:instrText xml:space="preserve"> \* MERGEFORMAT </w:instrText>
      </w:r>
      <w:r w:rsidRPr="00191D45">
        <w:fldChar w:fldCharType="separate"/>
      </w:r>
      <w:r w:rsidRPr="00191D45">
        <w:t xml:space="preserve">Figure </w:t>
      </w:r>
      <w:r w:rsidRPr="00191D45">
        <w:rPr>
          <w:noProof/>
        </w:rPr>
        <w:t>1</w:t>
      </w:r>
      <w:r w:rsidRPr="00191D45">
        <w:fldChar w:fldCharType="end"/>
      </w:r>
      <w:r w:rsidRPr="00191D45">
        <w:t xml:space="preserve">, </w:t>
      </w:r>
      <w:r w:rsidRPr="00191D45">
        <w:fldChar w:fldCharType="begin"/>
      </w:r>
      <w:r w:rsidRPr="00191D45">
        <w:instrText xml:space="preserve"> REF _Ref32477041 \h </w:instrText>
      </w:r>
      <w:r>
        <w:instrText xml:space="preserve"> \* MERGEFORMAT </w:instrText>
      </w:r>
      <w:r w:rsidRPr="00191D45">
        <w:fldChar w:fldCharType="separate"/>
      </w:r>
      <w:r w:rsidRPr="00191D45">
        <w:t xml:space="preserve">Figure </w:t>
      </w:r>
      <w:r w:rsidRPr="00191D45">
        <w:rPr>
          <w:noProof/>
        </w:rPr>
        <w:t>2</w:t>
      </w:r>
      <w:r w:rsidRPr="00191D45">
        <w:fldChar w:fldCharType="end"/>
      </w:r>
      <w:r>
        <w:t xml:space="preserve">, and </w:t>
      </w:r>
      <w:r w:rsidRPr="00191D45">
        <w:fldChar w:fldCharType="begin"/>
      </w:r>
      <w:r w:rsidRPr="00191D45">
        <w:instrText xml:space="preserve"> REF _Ref32477044 \h </w:instrText>
      </w:r>
      <w:r>
        <w:instrText xml:space="preserve"> \* MERGEFORMAT </w:instrText>
      </w:r>
      <w:r w:rsidRPr="00191D45">
        <w:fldChar w:fldCharType="separate"/>
      </w:r>
      <w:r w:rsidRPr="00191D45">
        <w:t xml:space="preserve">Figure </w:t>
      </w:r>
      <w:r w:rsidRPr="00191D45">
        <w:rPr>
          <w:noProof/>
        </w:rPr>
        <w:t>3</w:t>
      </w:r>
      <w:r w:rsidRPr="00191D45">
        <w:fldChar w:fldCharType="end"/>
      </w:r>
      <w:r w:rsidRPr="00191D45">
        <w:t>).</w:t>
      </w:r>
      <w:r>
        <w:t xml:space="preserve"> Predictor and </w:t>
      </w:r>
      <w:r>
        <w:lastRenderedPageBreak/>
        <w:t xml:space="preserve">response variability were so great that none of the ‘treatment’ odd ratios in any of the 4 models was significantly different than the control, ‘unexposed’ group or each other, except for one. All of the odds ratio’s 95% CIs include values &lt; 1.00, except for the Model 4; ‘&gt; 60 minutes, &gt;5000’, ‘after exclusion’ treatment. Thus, there is no evidence that any of the categories in any of the models except one, differed in exposure effects including the control (Figures 1 -3 in this </w:t>
      </w:r>
      <w:r w:rsidR="0083711E">
        <w:t>critique) (</w:t>
      </w:r>
      <w:r w:rsidR="0083711E">
        <w:fldChar w:fldCharType="begin"/>
      </w:r>
      <w:r w:rsidR="0083711E">
        <w:instrText xml:space="preserve"> REF _Ref32476630 \h </w:instrText>
      </w:r>
      <w:r w:rsidR="0083711E">
        <w:fldChar w:fldCharType="separate"/>
      </w:r>
      <w:r w:rsidR="0083711E">
        <w:t xml:space="preserve">Table </w:t>
      </w:r>
      <w:r w:rsidR="0083711E">
        <w:rPr>
          <w:noProof/>
        </w:rPr>
        <w:t>2</w:t>
      </w:r>
      <w:r w:rsidR="0083711E">
        <w:fldChar w:fldCharType="end"/>
      </w:r>
      <w:r>
        <w:t xml:space="preserve">, </w:t>
      </w:r>
      <w:proofErr w:type="spellStart"/>
      <w:r>
        <w:t>Pi</w:t>
      </w:r>
      <w:r w:rsidR="00FF0EC6">
        <w:t>l</w:t>
      </w:r>
      <w:r>
        <w:t>otto</w:t>
      </w:r>
      <w:proofErr w:type="spellEnd"/>
      <w:r>
        <w:t xml:space="preserve"> et al. 1997</w:t>
      </w:r>
      <w:r w:rsidR="00FF0EC6">
        <w:t>a</w:t>
      </w:r>
      <w:r>
        <w:t xml:space="preserve">).  </w:t>
      </w:r>
    </w:p>
    <w:p w14:paraId="62716A5C" w14:textId="77777777" w:rsidR="00CD6DE4" w:rsidRDefault="00CD6DE4"/>
    <w:p w14:paraId="0C3700E7" w14:textId="54449BE7" w:rsidR="00D74203" w:rsidRDefault="005717C8" w:rsidP="00D2012F">
      <w:pPr>
        <w:jc w:val="center"/>
      </w:pPr>
      <w:r>
        <w:rPr>
          <w:noProof/>
        </w:rPr>
        <w:drawing>
          <wp:inline distT="0" distB="0" distL="0" distR="0" wp14:anchorId="09FE61A2" wp14:editId="6030EC62">
            <wp:extent cx="4103464" cy="2984337"/>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del 3 Picotto et al 1997 Table 2.eps"/>
                    <pic:cNvPicPr/>
                  </pic:nvPicPr>
                  <pic:blipFill>
                    <a:blip r:embed="rId13">
                      <a:extLst>
                        <a:ext uri="{28A0092B-C50C-407E-A947-70E740481C1C}">
                          <a14:useLocalDpi xmlns:a14="http://schemas.microsoft.com/office/drawing/2010/main" val="0"/>
                        </a:ext>
                      </a:extLst>
                    </a:blip>
                    <a:stretch>
                      <a:fillRect/>
                    </a:stretch>
                  </pic:blipFill>
                  <pic:spPr>
                    <a:xfrm>
                      <a:off x="0" y="0"/>
                      <a:ext cx="4108108" cy="2987715"/>
                    </a:xfrm>
                    <a:prstGeom prst="rect">
                      <a:avLst/>
                    </a:prstGeom>
                  </pic:spPr>
                </pic:pic>
              </a:graphicData>
            </a:graphic>
          </wp:inline>
        </w:drawing>
      </w:r>
    </w:p>
    <w:p w14:paraId="4B12EE55" w14:textId="1FA1C7C9" w:rsidR="003E410D" w:rsidRPr="00D2012F" w:rsidRDefault="00191D45" w:rsidP="00D2012F">
      <w:pPr>
        <w:pStyle w:val="Caption"/>
        <w:rPr>
          <w:sz w:val="20"/>
          <w:szCs w:val="20"/>
        </w:rPr>
      </w:pPr>
      <w:bookmarkStart w:id="4" w:name="_Ref32477041"/>
      <w:r w:rsidRPr="00191D45">
        <w:rPr>
          <w:sz w:val="20"/>
          <w:szCs w:val="20"/>
        </w:rPr>
        <w:t xml:space="preserve">Figure </w:t>
      </w:r>
      <w:r w:rsidRPr="00191D45">
        <w:rPr>
          <w:sz w:val="20"/>
          <w:szCs w:val="20"/>
        </w:rPr>
        <w:fldChar w:fldCharType="begin"/>
      </w:r>
      <w:r w:rsidRPr="00191D45">
        <w:rPr>
          <w:sz w:val="20"/>
          <w:szCs w:val="20"/>
        </w:rPr>
        <w:instrText xml:space="preserve"> SEQ Figure \* ARABIC </w:instrText>
      </w:r>
      <w:r w:rsidRPr="00191D45">
        <w:rPr>
          <w:sz w:val="20"/>
          <w:szCs w:val="20"/>
        </w:rPr>
        <w:fldChar w:fldCharType="separate"/>
      </w:r>
      <w:r w:rsidRPr="00191D45">
        <w:rPr>
          <w:noProof/>
          <w:sz w:val="20"/>
          <w:szCs w:val="20"/>
        </w:rPr>
        <w:t>2</w:t>
      </w:r>
      <w:r w:rsidRPr="00191D45">
        <w:rPr>
          <w:sz w:val="20"/>
          <w:szCs w:val="20"/>
        </w:rPr>
        <w:fldChar w:fldCharType="end"/>
      </w:r>
      <w:bookmarkEnd w:id="4"/>
      <w:r w:rsidRPr="00191D45">
        <w:rPr>
          <w:sz w:val="20"/>
          <w:szCs w:val="20"/>
        </w:rPr>
        <w:t>.</w:t>
      </w:r>
      <w:r>
        <w:t xml:space="preserve"> </w:t>
      </w:r>
      <w:r w:rsidR="00EB4B65" w:rsidRPr="00703C87">
        <w:rPr>
          <w:sz w:val="20"/>
          <w:szCs w:val="20"/>
        </w:rPr>
        <w:t xml:space="preserve">Mean and 95% CIs of odds rations for Model 3: unexposed vs. exposed to four different cyanobacteria cell count densities. There were no statistically significant differences between the unexposed group and any of the exposed treatments or between any of the exposed treatments (i.e. 95% CIs of all the exposed treatments overlapped the </w:t>
      </w:r>
      <w:r w:rsidR="00703C87" w:rsidRPr="00703C87">
        <w:rPr>
          <w:sz w:val="20"/>
          <w:szCs w:val="20"/>
        </w:rPr>
        <w:t xml:space="preserve">unexposed odds ratio of 1.00). </w:t>
      </w:r>
      <w:r w:rsidR="00295E77">
        <w:rPr>
          <w:sz w:val="20"/>
          <w:szCs w:val="20"/>
        </w:rPr>
        <w:t>Obviously,</w:t>
      </w:r>
      <w:r w:rsidR="00FF0EC6">
        <w:rPr>
          <w:sz w:val="20"/>
          <w:szCs w:val="20"/>
        </w:rPr>
        <w:t xml:space="preserve"> treatments were categorical with varying ranges of values within and between treatments which demands categorical response type statistical analyses. Note: O</w:t>
      </w:r>
      <w:r w:rsidR="00703C87" w:rsidRPr="00703C87">
        <w:rPr>
          <w:sz w:val="20"/>
          <w:szCs w:val="20"/>
        </w:rPr>
        <w:t xml:space="preserve">dds ratio scale was modified to </w:t>
      </w:r>
      <w:r w:rsidR="001B7865">
        <w:rPr>
          <w:sz w:val="20"/>
          <w:szCs w:val="20"/>
        </w:rPr>
        <w:t>scale</w:t>
      </w:r>
      <w:r w:rsidR="00703C87" w:rsidRPr="00703C87">
        <w:rPr>
          <w:sz w:val="20"/>
          <w:szCs w:val="20"/>
        </w:rPr>
        <w:t xml:space="preserve"> for values &lt; 1.00.</w:t>
      </w:r>
    </w:p>
    <w:p w14:paraId="304E0500" w14:textId="77777777" w:rsidR="003E410D" w:rsidRDefault="003E410D"/>
    <w:p w14:paraId="17A04881" w14:textId="0F4ED206" w:rsidR="007C000D" w:rsidRDefault="008A378F" w:rsidP="00D2012F">
      <w:pPr>
        <w:jc w:val="center"/>
      </w:pPr>
      <w:r>
        <w:rPr>
          <w:noProof/>
        </w:rPr>
        <w:lastRenderedPageBreak/>
        <w:drawing>
          <wp:inline distT="0" distB="0" distL="0" distR="0" wp14:anchorId="5DDBEBBF" wp14:editId="031D0C30">
            <wp:extent cx="4166755" cy="3030367"/>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odel 4 Picotto et al 1997 Table 2.eps"/>
                    <pic:cNvPicPr/>
                  </pic:nvPicPr>
                  <pic:blipFill>
                    <a:blip r:embed="rId14">
                      <a:extLst>
                        <a:ext uri="{28A0092B-C50C-407E-A947-70E740481C1C}">
                          <a14:useLocalDpi xmlns:a14="http://schemas.microsoft.com/office/drawing/2010/main" val="0"/>
                        </a:ext>
                      </a:extLst>
                    </a:blip>
                    <a:stretch>
                      <a:fillRect/>
                    </a:stretch>
                  </pic:blipFill>
                  <pic:spPr>
                    <a:xfrm>
                      <a:off x="0" y="0"/>
                      <a:ext cx="4179238" cy="3039445"/>
                    </a:xfrm>
                    <a:prstGeom prst="rect">
                      <a:avLst/>
                    </a:prstGeom>
                  </pic:spPr>
                </pic:pic>
              </a:graphicData>
            </a:graphic>
          </wp:inline>
        </w:drawing>
      </w:r>
    </w:p>
    <w:p w14:paraId="474C4163" w14:textId="412E4D53" w:rsidR="004C0F28" w:rsidRPr="00D2012F" w:rsidRDefault="00191D45" w:rsidP="00D2012F">
      <w:pPr>
        <w:pStyle w:val="Caption"/>
        <w:rPr>
          <w:sz w:val="20"/>
          <w:szCs w:val="20"/>
        </w:rPr>
      </w:pPr>
      <w:bookmarkStart w:id="5" w:name="_Ref32477044"/>
      <w:r w:rsidRPr="00191D45">
        <w:rPr>
          <w:sz w:val="20"/>
          <w:szCs w:val="20"/>
        </w:rPr>
        <w:t xml:space="preserve">Figure </w:t>
      </w:r>
      <w:r w:rsidRPr="00191D45">
        <w:rPr>
          <w:sz w:val="20"/>
          <w:szCs w:val="20"/>
        </w:rPr>
        <w:fldChar w:fldCharType="begin"/>
      </w:r>
      <w:r w:rsidRPr="00191D45">
        <w:rPr>
          <w:sz w:val="20"/>
          <w:szCs w:val="20"/>
        </w:rPr>
        <w:instrText xml:space="preserve"> SEQ Figure \* ARABIC </w:instrText>
      </w:r>
      <w:r w:rsidRPr="00191D45">
        <w:rPr>
          <w:sz w:val="20"/>
          <w:szCs w:val="20"/>
        </w:rPr>
        <w:fldChar w:fldCharType="separate"/>
      </w:r>
      <w:r w:rsidRPr="00191D45">
        <w:rPr>
          <w:noProof/>
          <w:sz w:val="20"/>
          <w:szCs w:val="20"/>
        </w:rPr>
        <w:t>3</w:t>
      </w:r>
      <w:r w:rsidRPr="00191D45">
        <w:rPr>
          <w:sz w:val="20"/>
          <w:szCs w:val="20"/>
        </w:rPr>
        <w:fldChar w:fldCharType="end"/>
      </w:r>
      <w:bookmarkEnd w:id="5"/>
      <w:r w:rsidRPr="00191D45">
        <w:rPr>
          <w:sz w:val="20"/>
          <w:szCs w:val="20"/>
        </w:rPr>
        <w:t>.</w:t>
      </w:r>
      <w:r>
        <w:t xml:space="preserve"> </w:t>
      </w:r>
      <w:r w:rsidR="00EB4B65" w:rsidRPr="00703C87">
        <w:rPr>
          <w:sz w:val="20"/>
          <w:szCs w:val="20"/>
        </w:rPr>
        <w:t>Mean and 95% CIs of odds rations for Model 4: unexposed vs. exposed to four different cyanobacteria cell count densities and durations. There were no statistically significant differences between the unexposed group and any of the exposed treatments or between any of the exposed treatments</w:t>
      </w:r>
      <w:r w:rsidR="00CD6DE4" w:rsidRPr="00703C87">
        <w:rPr>
          <w:sz w:val="20"/>
          <w:szCs w:val="20"/>
        </w:rPr>
        <w:t xml:space="preserve">, (i.e. 95% CIs overlapped the unexposed odds ratio of 1.00), except for the treatment: &gt; 1 </w:t>
      </w:r>
      <w:r w:rsidR="00703C87" w:rsidRPr="00703C87">
        <w:rPr>
          <w:sz w:val="20"/>
          <w:szCs w:val="20"/>
        </w:rPr>
        <w:t>hr.</w:t>
      </w:r>
      <w:r w:rsidR="00CD6DE4" w:rsidRPr="00703C87">
        <w:rPr>
          <w:sz w:val="20"/>
          <w:szCs w:val="20"/>
        </w:rPr>
        <w:t>, &gt; 5K cells. No trend line was added to this figure because all treatments were categorical and not ordinal.</w:t>
      </w:r>
      <w:r w:rsidR="0083711E">
        <w:rPr>
          <w:sz w:val="20"/>
          <w:szCs w:val="20"/>
        </w:rPr>
        <w:t xml:space="preserve"> In. particular, there was no basis for grouping the &gt; 1 </w:t>
      </w:r>
      <w:proofErr w:type="spellStart"/>
      <w:r w:rsidR="00FF0EC6">
        <w:rPr>
          <w:sz w:val="20"/>
          <w:szCs w:val="20"/>
        </w:rPr>
        <w:t>hr</w:t>
      </w:r>
      <w:proofErr w:type="spellEnd"/>
      <w:r w:rsidR="00FF0EC6">
        <w:rPr>
          <w:sz w:val="20"/>
          <w:szCs w:val="20"/>
        </w:rPr>
        <w:t>, &lt;</w:t>
      </w:r>
      <w:r w:rsidR="0083711E">
        <w:rPr>
          <w:sz w:val="20"/>
          <w:szCs w:val="20"/>
        </w:rPr>
        <w:t xml:space="preserve"> 5K before the &lt; 1 </w:t>
      </w:r>
      <w:proofErr w:type="spellStart"/>
      <w:r w:rsidR="0083711E">
        <w:rPr>
          <w:sz w:val="20"/>
          <w:szCs w:val="20"/>
        </w:rPr>
        <w:t>hr</w:t>
      </w:r>
      <w:proofErr w:type="spellEnd"/>
      <w:r w:rsidR="0083711E">
        <w:rPr>
          <w:sz w:val="20"/>
          <w:szCs w:val="20"/>
        </w:rPr>
        <w:t>, &gt; 5K exposure other than post hoc superficial results.</w:t>
      </w:r>
      <w:r w:rsidR="00703C87" w:rsidRPr="00703C87">
        <w:rPr>
          <w:sz w:val="20"/>
          <w:szCs w:val="20"/>
        </w:rPr>
        <w:t xml:space="preserve"> </w:t>
      </w:r>
      <w:r w:rsidR="0083711E">
        <w:rPr>
          <w:sz w:val="20"/>
          <w:szCs w:val="20"/>
        </w:rPr>
        <w:t xml:space="preserve">Note: </w:t>
      </w:r>
      <w:r w:rsidR="00703C87" w:rsidRPr="00703C87">
        <w:rPr>
          <w:sz w:val="20"/>
          <w:szCs w:val="20"/>
        </w:rPr>
        <w:t xml:space="preserve">The odds ratio scale was modified to </w:t>
      </w:r>
      <w:r w:rsidR="001B7865">
        <w:rPr>
          <w:sz w:val="20"/>
          <w:szCs w:val="20"/>
        </w:rPr>
        <w:t>scale</w:t>
      </w:r>
      <w:r w:rsidR="00703C87" w:rsidRPr="00703C87">
        <w:rPr>
          <w:sz w:val="20"/>
          <w:szCs w:val="20"/>
        </w:rPr>
        <w:t xml:space="preserve"> for values &lt; 1.00.</w:t>
      </w:r>
    </w:p>
    <w:p w14:paraId="53754BD4" w14:textId="2C86B7C0" w:rsidR="004C0F28" w:rsidRPr="00CD6DE4" w:rsidRDefault="00D2012F" w:rsidP="00D2012F">
      <w:pPr>
        <w:pStyle w:val="Heading3"/>
      </w:pPr>
      <w:r>
        <w:t>Improper t</w:t>
      </w:r>
      <w:r w:rsidR="004C0F28" w:rsidRPr="00CD6DE4">
        <w:t>rend</w:t>
      </w:r>
      <w:r>
        <w:t xml:space="preserve"> analysis</w:t>
      </w:r>
    </w:p>
    <w:p w14:paraId="1AB72191" w14:textId="6555F8C1" w:rsidR="00D93C95" w:rsidRDefault="004C0F28">
      <w:r>
        <w:t xml:space="preserve">Even though the ‘after exclusion’ analysis for Models 2, 3, and 4 </w:t>
      </w:r>
      <w:r w:rsidR="00187E9D">
        <w:t>(Table 2,</w:t>
      </w:r>
      <w:r w:rsidR="000C0692">
        <w:t xml:space="preserve"> </w:t>
      </w:r>
      <w:r w:rsidR="00187E9D">
        <w:t>Pi</w:t>
      </w:r>
      <w:r w:rsidR="00FF0EC6">
        <w:t>l</w:t>
      </w:r>
      <w:r w:rsidR="00187E9D">
        <w:t>otto et al 1997</w:t>
      </w:r>
      <w:r w:rsidR="00FF0EC6">
        <w:t>a</w:t>
      </w:r>
      <w:r w:rsidR="00187E9D">
        <w:t xml:space="preserve">) </w:t>
      </w:r>
      <w:r>
        <w:t xml:space="preserve">showed statistically significant trends (P &lt; 0.05), their medical exposure relevance is questionable in Models 2 and 3 and </w:t>
      </w:r>
      <w:r w:rsidR="008B0CAD">
        <w:t xml:space="preserve">possibly </w:t>
      </w:r>
      <w:r>
        <w:t>irrelevant in Model 4.</w:t>
      </w:r>
      <w:r w:rsidR="00C6713F">
        <w:t xml:space="preserve"> </w:t>
      </w:r>
      <w:r>
        <w:t xml:space="preserve">For example, in linear regression models, the </w:t>
      </w:r>
      <w:r w:rsidR="00CD6DE4">
        <w:t>well-known</w:t>
      </w:r>
      <w:r>
        <w:t xml:space="preserve"> and easily interpretable R</w:t>
      </w:r>
      <w:r w:rsidRPr="00CD6DE4">
        <w:rPr>
          <w:vertAlign w:val="superscript"/>
        </w:rPr>
        <w:t>2</w:t>
      </w:r>
      <w:r>
        <w:t xml:space="preserve"> value indicates how well the model fits that data and how well the predictor affects the response variable.</w:t>
      </w:r>
      <w:r w:rsidR="00C6713F">
        <w:t xml:space="preserve"> </w:t>
      </w:r>
      <w:r>
        <w:t>However, R</w:t>
      </w:r>
      <w:r w:rsidRPr="00CD6DE4">
        <w:rPr>
          <w:vertAlign w:val="superscript"/>
        </w:rPr>
        <w:t>2</w:t>
      </w:r>
      <w:r>
        <w:t xml:space="preserve"> values can be very small and still be statistically significant.</w:t>
      </w:r>
      <w:r w:rsidR="00C6713F">
        <w:t xml:space="preserve"> </w:t>
      </w:r>
      <w:r>
        <w:t>As an example, an R</w:t>
      </w:r>
      <w:r w:rsidRPr="00CD6DE4">
        <w:rPr>
          <w:vertAlign w:val="superscript"/>
        </w:rPr>
        <w:t>2</w:t>
      </w:r>
      <w:r>
        <w:t xml:space="preserve"> value of 0.1</w:t>
      </w:r>
      <w:r w:rsidR="00D93C95">
        <w:t xml:space="preserve"> or </w:t>
      </w:r>
      <w:r w:rsidR="00CD6DE4">
        <w:t xml:space="preserve">even </w:t>
      </w:r>
      <w:r w:rsidR="00D93C95">
        <w:t>less</w:t>
      </w:r>
      <w:r>
        <w:t xml:space="preserve"> can be statistically significant but have very poor predictability </w:t>
      </w:r>
      <w:r w:rsidR="00CD6DE4">
        <w:t xml:space="preserve">or </w:t>
      </w:r>
      <w:r w:rsidR="00187E9D">
        <w:t xml:space="preserve">of no </w:t>
      </w:r>
      <w:r w:rsidR="00CD6DE4">
        <w:t>use determining</w:t>
      </w:r>
      <w:r>
        <w:t xml:space="preserve"> </w:t>
      </w:r>
      <w:r w:rsidR="00D93C95">
        <w:t>exposure/medical relevance.</w:t>
      </w:r>
      <w:r w:rsidR="00C6713F">
        <w:t xml:space="preserve"> </w:t>
      </w:r>
      <w:r w:rsidR="00D93C95">
        <w:t>P</w:t>
      </w:r>
      <w:r w:rsidR="00187E9D">
        <w:t>-</w:t>
      </w:r>
      <w:r>
        <w:t xml:space="preserve"> values associated with R</w:t>
      </w:r>
      <w:r w:rsidRPr="00CD6DE4">
        <w:rPr>
          <w:vertAlign w:val="superscript"/>
        </w:rPr>
        <w:t>2</w:t>
      </w:r>
      <w:r>
        <w:t xml:space="preserve"> values are a measure of whether the linear prediction line </w:t>
      </w:r>
      <w:r w:rsidR="00D93C95">
        <w:t>(</w:t>
      </w:r>
      <w:r>
        <w:t>slope</w:t>
      </w:r>
      <w:r w:rsidR="00D93C95">
        <w:t>)</w:t>
      </w:r>
      <w:r>
        <w:t xml:space="preserve"> differs than zero slope. </w:t>
      </w:r>
      <w:r w:rsidR="00CD6DE4">
        <w:t xml:space="preserve">Even a slight </w:t>
      </w:r>
      <w:r w:rsidR="00187E9D">
        <w:t>deviation from</w:t>
      </w:r>
      <w:r w:rsidR="00CD6DE4">
        <w:t xml:space="preserve"> zero </w:t>
      </w:r>
      <w:r w:rsidR="00187E9D">
        <w:t xml:space="preserve">slope </w:t>
      </w:r>
      <w:r w:rsidR="00CD6DE4">
        <w:t xml:space="preserve">can result in a significant p-value. </w:t>
      </w:r>
      <w:r w:rsidR="00FA7542">
        <w:t>Error rates of odds ratio trend p-values can also be calculated via Monte Carlo simulation but were not done in the Pi</w:t>
      </w:r>
      <w:r w:rsidR="001B7F1E">
        <w:t>l</w:t>
      </w:r>
      <w:r w:rsidR="00FA7542">
        <w:t>otto et al. 1997</w:t>
      </w:r>
      <w:r w:rsidR="00295E77">
        <w:t>a</w:t>
      </w:r>
      <w:r w:rsidR="00FA7542">
        <w:t xml:space="preserve"> report. </w:t>
      </w:r>
      <w:r w:rsidR="000C0692">
        <w:t xml:space="preserve">It is safe to assume that some percentage of Monte Carlo type simulations of their data would result in </w:t>
      </w:r>
      <w:r w:rsidR="00C0517B">
        <w:t xml:space="preserve">statistically significant decreasing symptom trends with increased exposure in contrast to their results that showed increased risk. Additional analyses such as ANOVA type treatment effects models might also be appropriate and help determine </w:t>
      </w:r>
      <w:r w:rsidR="001B7865">
        <w:t xml:space="preserve">the magnitude of the </w:t>
      </w:r>
      <w:r w:rsidR="00C0517B">
        <w:t>effects.</w:t>
      </w:r>
    </w:p>
    <w:p w14:paraId="61A68AF7" w14:textId="77777777" w:rsidR="00D93C95" w:rsidRDefault="00D93C95"/>
    <w:p w14:paraId="2F055C70" w14:textId="77777777" w:rsidR="00D93C95" w:rsidRDefault="00D93C95"/>
    <w:p w14:paraId="7BB80083" w14:textId="2D586A50" w:rsidR="00D93C95" w:rsidRDefault="00D93C95">
      <w:r>
        <w:t xml:space="preserve">Model 4 </w:t>
      </w:r>
      <w:r w:rsidR="00187E9D">
        <w:t>(Table 2, Pi</w:t>
      </w:r>
      <w:r w:rsidR="00FF0EC6">
        <w:t>l</w:t>
      </w:r>
      <w:r w:rsidR="00187E9D">
        <w:t>otto et al 1997</w:t>
      </w:r>
      <w:r w:rsidR="00FF0EC6">
        <w:t>a</w:t>
      </w:r>
      <w:r w:rsidR="00187E9D">
        <w:t xml:space="preserve">) </w:t>
      </w:r>
      <w:r>
        <w:t>reported trend is</w:t>
      </w:r>
      <w:r w:rsidR="00C0517B">
        <w:t xml:space="preserve"> mostly</w:t>
      </w:r>
      <w:r>
        <w:t xml:space="preserve"> irrelevant because the combination of duration and cell density response categories</w:t>
      </w:r>
      <w:r w:rsidR="00D82917">
        <w:t>,</w:t>
      </w:r>
      <w:r>
        <w:t xml:space="preserve"> as listed</w:t>
      </w:r>
      <w:r w:rsidR="00D82917">
        <w:t>,</w:t>
      </w:r>
      <w:r>
        <w:t xml:space="preserve"> have not been determined to be increasing exposure risk</w:t>
      </w:r>
      <w:r w:rsidR="006F0D9E">
        <w:t xml:space="preserve">, particularly the two categories; </w:t>
      </w:r>
      <w:r w:rsidR="002B73CB">
        <w:t>‘</w:t>
      </w:r>
      <w:r w:rsidR="006F0D9E">
        <w:t>&gt; 60 minutes,</w:t>
      </w:r>
      <w:r w:rsidR="002B73CB">
        <w:t xml:space="preserve"> </w:t>
      </w:r>
      <w:r w:rsidR="006F0D9E">
        <w:t xml:space="preserve">&lt; </w:t>
      </w:r>
      <w:r w:rsidR="006F0D9E">
        <w:lastRenderedPageBreak/>
        <w:t>5000 cells</w:t>
      </w:r>
      <w:r w:rsidR="002B73CB">
        <w:t>’</w:t>
      </w:r>
      <w:r w:rsidR="006F0D9E">
        <w:t xml:space="preserve"> and </w:t>
      </w:r>
      <w:r w:rsidR="002B73CB">
        <w:t>‘</w:t>
      </w:r>
      <w:r w:rsidR="006F0D9E">
        <w:t>&lt; 60 minutes, &gt; 5000 cells</w:t>
      </w:r>
      <w:r w:rsidR="002B73CB">
        <w:t>’</w:t>
      </w:r>
      <w:r>
        <w:t>.</w:t>
      </w:r>
      <w:r w:rsidR="00C6713F">
        <w:t xml:space="preserve"> </w:t>
      </w:r>
      <w:r>
        <w:t xml:space="preserve">There was no </w:t>
      </w:r>
      <w:r w:rsidR="002B73CB" w:rsidRPr="00C0517B">
        <w:rPr>
          <w:i/>
        </w:rPr>
        <w:t>a priori</w:t>
      </w:r>
      <w:r w:rsidR="002B73CB">
        <w:t xml:space="preserve"> knowledge of</w:t>
      </w:r>
      <w:r>
        <w:t xml:space="preserve"> whether duration (&lt; 60 minutes, &gt; 60 minutes) was a greater risk than cell density (&lt;</w:t>
      </w:r>
      <w:r w:rsidR="006F0D9E">
        <w:t xml:space="preserve"> </w:t>
      </w:r>
      <w:r>
        <w:t>500</w:t>
      </w:r>
      <w:r w:rsidR="006F0D9E">
        <w:t>0</w:t>
      </w:r>
      <w:r w:rsidR="002B73CB">
        <w:t xml:space="preserve">, &gt; 5000 cells). </w:t>
      </w:r>
      <w:r w:rsidR="00D82917">
        <w:t>T</w:t>
      </w:r>
      <w:r>
        <w:t xml:space="preserve">rend analyses of </w:t>
      </w:r>
      <w:r w:rsidR="00D82917">
        <w:t>odds ratios are</w:t>
      </w:r>
      <w:r>
        <w:t xml:space="preserve"> dependent on increasing risk </w:t>
      </w:r>
      <w:r w:rsidR="006F0D9E">
        <w:t>categories</w:t>
      </w:r>
      <w:r w:rsidR="002B73CB">
        <w:t xml:space="preserve"> (ordinal)</w:t>
      </w:r>
      <w:r w:rsidR="006F0D9E">
        <w:t xml:space="preserve">. </w:t>
      </w:r>
      <w:r w:rsidR="00D82917">
        <w:t xml:space="preserve">The four categories used </w:t>
      </w:r>
      <w:r w:rsidR="00CD6DE4">
        <w:t xml:space="preserve">in Model 4 </w:t>
      </w:r>
      <w:r w:rsidR="00D82917">
        <w:t xml:space="preserve">were not </w:t>
      </w:r>
      <w:r w:rsidR="002B73CB">
        <w:t xml:space="preserve">entirely </w:t>
      </w:r>
      <w:r w:rsidR="00D82917">
        <w:t xml:space="preserve">ordinal </w:t>
      </w:r>
      <w:r w:rsidR="002B73CB">
        <w:t>categories;</w:t>
      </w:r>
      <w:r w:rsidR="00D82917">
        <w:t xml:space="preserve"> that is there was no clear ordering of </w:t>
      </w:r>
      <w:r w:rsidR="006F0D9E">
        <w:t xml:space="preserve">two of the five </w:t>
      </w:r>
      <w:r w:rsidR="00D82917">
        <w:t xml:space="preserve">variables. </w:t>
      </w:r>
      <w:r w:rsidR="006F0D9E">
        <w:t xml:space="preserve">If the two categories in question are kept in the analysis, then the odds ratio analysis for Model 4 </w:t>
      </w:r>
      <w:r w:rsidR="002B73CB">
        <w:t xml:space="preserve">technically </w:t>
      </w:r>
      <w:r w:rsidR="006F0D9E">
        <w:t xml:space="preserve">should </w:t>
      </w:r>
      <w:r w:rsidR="002B73CB">
        <w:t>have been</w:t>
      </w:r>
      <w:r w:rsidR="006F0D9E">
        <w:t xml:space="preserve"> based on </w:t>
      </w:r>
      <w:r w:rsidR="00D82917">
        <w:t xml:space="preserve">categorical </w:t>
      </w:r>
      <w:r w:rsidR="00C0517B">
        <w:t xml:space="preserve">response </w:t>
      </w:r>
      <w:r w:rsidR="00D82917">
        <w:t>values</w:t>
      </w:r>
      <w:r w:rsidR="002B73CB">
        <w:t xml:space="preserve"> not ordinal</w:t>
      </w:r>
      <w:r w:rsidR="00CD6DE4">
        <w:t>.</w:t>
      </w:r>
      <w:r w:rsidR="00C6713F">
        <w:t xml:space="preserve"> </w:t>
      </w:r>
      <w:r w:rsidR="00CD6DE4">
        <w:t>Odds ratio</w:t>
      </w:r>
      <w:r w:rsidR="00D82917">
        <w:t xml:space="preserve"> trend analysis is not a viable method for categorical values. </w:t>
      </w:r>
      <w:r w:rsidR="002B73CB">
        <w:t xml:space="preserve">This is somewhat of a </w:t>
      </w:r>
      <w:r w:rsidR="00211AFC">
        <w:t xml:space="preserve">minor criticism but the </w:t>
      </w:r>
      <w:r w:rsidR="001B7865">
        <w:t>over reliance</w:t>
      </w:r>
      <w:r w:rsidR="00211AFC">
        <w:t xml:space="preserve"> on trend p-values</w:t>
      </w:r>
      <w:r w:rsidR="001B7865">
        <w:t xml:space="preserve"> to make conclusions</w:t>
      </w:r>
      <w:r w:rsidR="00211AFC">
        <w:t xml:space="preserve"> and </w:t>
      </w:r>
      <w:r w:rsidR="008B0CAD">
        <w:t xml:space="preserve">ignoring </w:t>
      </w:r>
      <w:r w:rsidR="00211AFC">
        <w:t xml:space="preserve">the </w:t>
      </w:r>
      <w:r w:rsidR="00C0517B">
        <w:t xml:space="preserve">magnitudes or </w:t>
      </w:r>
      <w:r w:rsidR="008B0CAD">
        <w:t xml:space="preserve">lack of </w:t>
      </w:r>
      <w:r w:rsidR="00C0517B">
        <w:t>significance</w:t>
      </w:r>
      <w:r w:rsidR="001B7865">
        <w:t xml:space="preserve"> within and</w:t>
      </w:r>
      <w:r w:rsidR="00C0517B">
        <w:t xml:space="preserve"> between the treatments </w:t>
      </w:r>
      <w:r w:rsidR="00211AFC">
        <w:t>themselves is important and discussed in the paragraph above.</w:t>
      </w:r>
      <w:r w:rsidR="00C6713F">
        <w:t xml:space="preserve"> </w:t>
      </w:r>
    </w:p>
    <w:p w14:paraId="7DEF4E26" w14:textId="77777777" w:rsidR="001B7865" w:rsidRDefault="001B7865"/>
    <w:p w14:paraId="6095F50C" w14:textId="4641E075" w:rsidR="001B7865" w:rsidRDefault="001B7865">
      <w:r>
        <w:t>Also, no interaction effects between exposure duration and cell density were reported by Pi</w:t>
      </w:r>
      <w:r w:rsidR="00AF07FC">
        <w:t>l</w:t>
      </w:r>
      <w:r>
        <w:t>otto et al. 1997</w:t>
      </w:r>
      <w:r w:rsidR="00AF07FC">
        <w:t>a</w:t>
      </w:r>
      <w:r>
        <w:t>.</w:t>
      </w:r>
      <w:r w:rsidR="00C6713F">
        <w:t xml:space="preserve"> </w:t>
      </w:r>
      <w:r>
        <w:t>It is unclear from Table 2 if there were interaction effects.</w:t>
      </w:r>
      <w:r w:rsidR="008B0CAD">
        <w:t xml:space="preserve"> </w:t>
      </w:r>
    </w:p>
    <w:p w14:paraId="558DB1CE" w14:textId="77777777" w:rsidR="00466654" w:rsidRDefault="00466654"/>
    <w:p w14:paraId="37EB09DF" w14:textId="35870BA5" w:rsidR="00466654" w:rsidRDefault="00187E9D">
      <w:r>
        <w:t>If we follow</w:t>
      </w:r>
      <w:r w:rsidR="00466654">
        <w:t xml:space="preserve"> </w:t>
      </w:r>
      <w:r>
        <w:t>Pi</w:t>
      </w:r>
      <w:r w:rsidR="00AF07FC">
        <w:t>l</w:t>
      </w:r>
      <w:r>
        <w:t>otto et al 1997</w:t>
      </w:r>
      <w:r w:rsidR="00AF07FC">
        <w:t>a</w:t>
      </w:r>
      <w:r w:rsidR="00FF0EC6">
        <w:t>’s</w:t>
      </w:r>
      <w:r w:rsidR="001B7865">
        <w:t xml:space="preserve"> lead</w:t>
      </w:r>
      <w:r w:rsidR="00AF07FC">
        <w:t xml:space="preserve"> </w:t>
      </w:r>
      <w:r w:rsidR="00466654">
        <w:t xml:space="preserve">based on </w:t>
      </w:r>
      <w:r w:rsidR="00FF0EC6">
        <w:t xml:space="preserve">their </w:t>
      </w:r>
      <w:r w:rsidR="00466654">
        <w:t>odds ratio analysis presented</w:t>
      </w:r>
      <w:r w:rsidR="00CD6DE4">
        <w:t xml:space="preserve"> in Table 2</w:t>
      </w:r>
      <w:r w:rsidR="00703C87">
        <w:t xml:space="preserve"> (illustrated in Figures 2 and 3)</w:t>
      </w:r>
      <w:r w:rsidR="00CD6DE4">
        <w:t xml:space="preserve">; </w:t>
      </w:r>
      <w:r w:rsidR="00466654">
        <w:t xml:space="preserve">we can conclude that cyanobacteria exposure for </w:t>
      </w:r>
      <w:r w:rsidR="002B73CB">
        <w:t xml:space="preserve">&gt; 0 but </w:t>
      </w:r>
      <w:r w:rsidR="00466654">
        <w:t xml:space="preserve">&lt; 1 hour and concentrations </w:t>
      </w:r>
      <w:r w:rsidR="002B73CB">
        <w:t xml:space="preserve">&gt; 0 but </w:t>
      </w:r>
      <w:r w:rsidR="00466654">
        <w:t xml:space="preserve">&lt; 5000 cells/mL are beneficial and </w:t>
      </w:r>
      <w:r w:rsidR="00CD6DE4">
        <w:t xml:space="preserve">can </w:t>
      </w:r>
      <w:r w:rsidR="00466654">
        <w:t>reduce illness</w:t>
      </w:r>
      <w:r w:rsidR="00E2256D">
        <w:t>;</w:t>
      </w:r>
      <w:r w:rsidR="00466654">
        <w:t xml:space="preserve"> almost </w:t>
      </w:r>
      <w:r w:rsidR="00E2256D">
        <w:t>two</w:t>
      </w:r>
      <w:r w:rsidR="00466654">
        <w:t xml:space="preserve"> </w:t>
      </w:r>
      <w:r w:rsidR="00E2256D">
        <w:t>times</w:t>
      </w:r>
      <w:r w:rsidR="00466654">
        <w:t xml:space="preserve"> better than without exposure. </w:t>
      </w:r>
      <w:r w:rsidR="00AF07FC">
        <w:t>Pilotto</w:t>
      </w:r>
      <w:r w:rsidR="00770B60">
        <w:t xml:space="preserve"> et al. 1997</w:t>
      </w:r>
      <w:r w:rsidR="00AF07FC">
        <w:t>a</w:t>
      </w:r>
      <w:r w:rsidR="00770B60">
        <w:t xml:space="preserve"> </w:t>
      </w:r>
      <w:r w:rsidR="00AF07FC">
        <w:t>results would be an additional multiple line of evidence</w:t>
      </w:r>
      <w:r w:rsidR="00770B60">
        <w:t xml:space="preserve"> </w:t>
      </w:r>
      <w:r w:rsidR="001B7865">
        <w:t xml:space="preserve">that low </w:t>
      </w:r>
      <w:r w:rsidR="00AF07FC">
        <w:t>exposures</w:t>
      </w:r>
      <w:r w:rsidR="001B7865">
        <w:t xml:space="preserve"> </w:t>
      </w:r>
      <w:r w:rsidR="00AF07FC">
        <w:t xml:space="preserve">of cyanobacteria are a health benefit </w:t>
      </w:r>
      <w:r>
        <w:t xml:space="preserve">consistent with the </w:t>
      </w:r>
      <w:r w:rsidR="00AF07FC">
        <w:t xml:space="preserve">health food industry’s stance that </w:t>
      </w:r>
      <w:r>
        <w:t xml:space="preserve">cyanobacteria </w:t>
      </w:r>
      <w:r w:rsidR="00AF07FC">
        <w:t xml:space="preserve">(i.e. </w:t>
      </w:r>
      <w:r w:rsidR="00E2256D">
        <w:t>blue green</w:t>
      </w:r>
      <w:r w:rsidR="00AF07FC">
        <w:t xml:space="preserve"> algae) </w:t>
      </w:r>
      <w:r>
        <w:t>s</w:t>
      </w:r>
      <w:r w:rsidR="001B7865">
        <w:t>upplements</w:t>
      </w:r>
      <w:r w:rsidR="00AF07FC">
        <w:t xml:space="preserve"> are beneficial and along with many </w:t>
      </w:r>
      <w:r w:rsidR="00E2256D">
        <w:t xml:space="preserve">other types of </w:t>
      </w:r>
      <w:r w:rsidR="00AF07FC">
        <w:t>vitamin and nutrient supplements, low dosages are beneficial while higher dosages are not</w:t>
      </w:r>
      <w:r w:rsidR="001B7865">
        <w:t>.</w:t>
      </w:r>
      <w:r w:rsidR="00AF07FC">
        <w:t xml:space="preserve"> If we are to assume that </w:t>
      </w:r>
      <w:proofErr w:type="spellStart"/>
      <w:r w:rsidR="00AF07FC">
        <w:t>Pilotto’s</w:t>
      </w:r>
      <w:proofErr w:type="spellEnd"/>
      <w:r w:rsidR="00AF07FC">
        <w:t xml:space="preserve"> conclusion that high exposures have a negative effect on health, then we </w:t>
      </w:r>
      <w:r w:rsidR="00E2256D">
        <w:t xml:space="preserve">also </w:t>
      </w:r>
      <w:r w:rsidR="00AF07FC">
        <w:t>have to assume that low exposures are beneficial.</w:t>
      </w:r>
    </w:p>
    <w:p w14:paraId="6EAD4E43" w14:textId="77777777" w:rsidR="00C67753" w:rsidRDefault="00C67753"/>
    <w:p w14:paraId="09A04C51" w14:textId="36205602" w:rsidR="00C67753" w:rsidRDefault="00C67753">
      <w:r>
        <w:t>In addition, if we ignore confidence intervals, the greatest difference in adjacent odds ratios in Model 3 occurs between &lt; 5K and 5-20K cells/mL (Figure 2 this critique). At &lt; 5K cells/mL cyanobacteria seems to be beneficial and reduces symptoms but at 5-20K there is a &gt; 2X negative affect of cyanobacteria. This phenomenon occurs in Model 4 also.</w:t>
      </w:r>
      <w:r w:rsidR="00505980">
        <w:t xml:space="preserve"> As stated in the preceding paragraph,</w:t>
      </w:r>
      <w:r>
        <w:t xml:space="preserve"> &lt; 5K cell/</w:t>
      </w:r>
      <w:r w:rsidR="00505980">
        <w:t>mL for &lt; 60 minutes improves health by almost 2X but at the same concentration has negative health effects after 60 minutes of exposure.</w:t>
      </w:r>
      <w:r>
        <w:t xml:space="preserve">  </w:t>
      </w:r>
    </w:p>
    <w:p w14:paraId="653F5817" w14:textId="11A1323B" w:rsidR="00187E9D" w:rsidRDefault="00187E9D"/>
    <w:p w14:paraId="4CA2B8B0" w14:textId="4C1F997F" w:rsidR="00AF07FC" w:rsidRDefault="00AF07FC" w:rsidP="00AF07FC">
      <w:r w:rsidRPr="00AF07FC">
        <w:t>Also, the proper method for evaluating trends using ordinal (</w:t>
      </w:r>
      <w:r w:rsidR="00D2012F">
        <w:t xml:space="preserve">ordered </w:t>
      </w:r>
      <w:r w:rsidRPr="00AF07FC">
        <w:t>categorical) variables would be ordinal regression</w:t>
      </w:r>
      <w:r w:rsidR="00D2012F">
        <w:t xml:space="preserve">. Because Pilotto et al 1997a based much of their conclusions on </w:t>
      </w:r>
      <w:r w:rsidRPr="00AF07FC">
        <w:t>odds ratios</w:t>
      </w:r>
      <w:r w:rsidR="00D2012F">
        <w:t>;</w:t>
      </w:r>
      <w:r w:rsidRPr="00AF07FC">
        <w:t xml:space="preserve"> ordinal logit or ordinal probit would </w:t>
      </w:r>
      <w:r w:rsidR="00D2012F">
        <w:t>have been the proper statistical method employed</w:t>
      </w:r>
      <w:r w:rsidRPr="00AF07FC">
        <w:t>.</w:t>
      </w:r>
      <w:r w:rsidR="00D2012F">
        <w:t xml:space="preserve"> Ratios typically are not statistically modeled using standard linear regression because they do not follow normal distributions. </w:t>
      </w:r>
    </w:p>
    <w:p w14:paraId="1574354A" w14:textId="262D14E0" w:rsidR="00004B71" w:rsidRDefault="00004B71"/>
    <w:p w14:paraId="56D3FA82" w14:textId="5139B88C" w:rsidR="00732505" w:rsidRDefault="00004B71" w:rsidP="00D2012F">
      <w:pPr>
        <w:pStyle w:val="Heading2"/>
        <w:numPr>
          <w:ilvl w:val="0"/>
          <w:numId w:val="2"/>
        </w:numPr>
        <w:ind w:left="360"/>
      </w:pPr>
      <w:r w:rsidRPr="00004B71">
        <w:t xml:space="preserve">Pilotto </w:t>
      </w:r>
      <w:r w:rsidR="00D2012F">
        <w:t>et al. 1997b. “</w:t>
      </w:r>
      <w:r w:rsidRPr="00004B71">
        <w:t>Health effects of exposure to cyanobacteria (blue-green algae) due to recreational water-related activities.</w:t>
      </w:r>
      <w:r w:rsidR="00D2012F">
        <w:t>”</w:t>
      </w:r>
      <w:r w:rsidRPr="00004B71">
        <w:t xml:space="preserve"> </w:t>
      </w:r>
    </w:p>
    <w:p w14:paraId="7C91BBAA" w14:textId="77777777" w:rsidR="00D2012F" w:rsidRDefault="00D2012F"/>
    <w:p w14:paraId="1A0986C4" w14:textId="0A95FA4D" w:rsidR="00D2012F" w:rsidRDefault="00A40701" w:rsidP="00A40701">
      <w:r>
        <w:lastRenderedPageBreak/>
        <w:t>Even though several agencies cited by UDWQ include this paper in their literature cited and as additional lines of evidence of the negative effects of cyanobacteria on health, there is little support for this conclusion. I include the abstract from Pilotto et al. 1997b for reference:</w:t>
      </w:r>
    </w:p>
    <w:p w14:paraId="4034143E" w14:textId="77777777" w:rsidR="00A40701" w:rsidRDefault="00A40701" w:rsidP="00A40701"/>
    <w:p w14:paraId="78C5F6CC" w14:textId="7DD97279" w:rsidR="00732505" w:rsidRDefault="00732505">
      <w:r>
        <w:t>Abstract</w:t>
      </w:r>
    </w:p>
    <w:p w14:paraId="618ECCFA" w14:textId="77777777" w:rsidR="00732505" w:rsidRPr="00732505" w:rsidRDefault="00732505" w:rsidP="00A40701">
      <w:pPr>
        <w:ind w:left="288"/>
        <w:rPr>
          <w:rFonts w:ascii="Times New Roman" w:eastAsia="Times New Roman" w:hAnsi="Times New Roman" w:cs="Times New Roman"/>
        </w:rPr>
      </w:pPr>
      <w:r w:rsidRPr="00732505">
        <w:rPr>
          <w:rFonts w:ascii="Arial" w:eastAsia="Times New Roman" w:hAnsi="Arial" w:cs="Arial"/>
          <w:color w:val="111111"/>
          <w:sz w:val="21"/>
          <w:szCs w:val="21"/>
          <w:shd w:val="clear" w:color="auto" w:fill="FFFFFF"/>
        </w:rPr>
        <w:t xml:space="preserve">To assess the skin irritant potential of a range of laboratory grown cyanobacterial species using skin-patch testing on human volunteers. Cell suspensions and extracts of cyanobacterial cultures of Microcystis aeruginosa (non-toxic strain), Anabaena </w:t>
      </w:r>
      <w:proofErr w:type="spellStart"/>
      <w:r w:rsidRPr="00732505">
        <w:rPr>
          <w:rFonts w:ascii="Arial" w:eastAsia="Times New Roman" w:hAnsi="Arial" w:cs="Arial"/>
          <w:color w:val="111111"/>
          <w:sz w:val="21"/>
          <w:szCs w:val="21"/>
          <w:shd w:val="clear" w:color="auto" w:fill="FFFFFF"/>
        </w:rPr>
        <w:t>circinalis</w:t>
      </w:r>
      <w:proofErr w:type="spellEnd"/>
      <w:r w:rsidRPr="00732505">
        <w:rPr>
          <w:rFonts w:ascii="Arial" w:eastAsia="Times New Roman" w:hAnsi="Arial" w:cs="Arial"/>
          <w:color w:val="111111"/>
          <w:sz w:val="21"/>
          <w:szCs w:val="21"/>
          <w:shd w:val="clear" w:color="auto" w:fill="FFFFFF"/>
        </w:rPr>
        <w:t xml:space="preserve"> and </w:t>
      </w:r>
      <w:proofErr w:type="spellStart"/>
      <w:r w:rsidRPr="00732505">
        <w:rPr>
          <w:rFonts w:ascii="Arial" w:eastAsia="Times New Roman" w:hAnsi="Arial" w:cs="Arial"/>
          <w:color w:val="111111"/>
          <w:sz w:val="21"/>
          <w:szCs w:val="21"/>
          <w:shd w:val="clear" w:color="auto" w:fill="FFFFFF"/>
        </w:rPr>
        <w:t>Nodularia</w:t>
      </w:r>
      <w:proofErr w:type="spellEnd"/>
      <w:r w:rsidRPr="00732505">
        <w:rPr>
          <w:rFonts w:ascii="Arial" w:eastAsia="Times New Roman" w:hAnsi="Arial" w:cs="Arial"/>
          <w:color w:val="111111"/>
          <w:sz w:val="21"/>
          <w:szCs w:val="21"/>
          <w:shd w:val="clear" w:color="auto" w:fill="FFFFFF"/>
        </w:rPr>
        <w:t xml:space="preserve"> </w:t>
      </w:r>
      <w:proofErr w:type="spellStart"/>
      <w:r w:rsidRPr="00732505">
        <w:rPr>
          <w:rFonts w:ascii="Arial" w:eastAsia="Times New Roman" w:hAnsi="Arial" w:cs="Arial"/>
          <w:color w:val="111111"/>
          <w:sz w:val="21"/>
          <w:szCs w:val="21"/>
          <w:shd w:val="clear" w:color="auto" w:fill="FFFFFF"/>
        </w:rPr>
        <w:t>spumigena</w:t>
      </w:r>
      <w:proofErr w:type="spellEnd"/>
      <w:r w:rsidRPr="00732505">
        <w:rPr>
          <w:rFonts w:ascii="Arial" w:eastAsia="Times New Roman" w:hAnsi="Arial" w:cs="Arial"/>
          <w:color w:val="111111"/>
          <w:sz w:val="21"/>
          <w:szCs w:val="21"/>
          <w:shd w:val="clear" w:color="auto" w:fill="FFFFFF"/>
        </w:rPr>
        <w:t xml:space="preserve"> were applied to 64 volunteers in one trial, and Microcystis </w:t>
      </w:r>
      <w:proofErr w:type="spellStart"/>
      <w:r w:rsidRPr="00732505">
        <w:rPr>
          <w:rFonts w:ascii="Arial" w:eastAsia="Times New Roman" w:hAnsi="Arial" w:cs="Arial"/>
          <w:color w:val="111111"/>
          <w:sz w:val="21"/>
          <w:szCs w:val="21"/>
          <w:shd w:val="clear" w:color="auto" w:fill="FFFFFF"/>
        </w:rPr>
        <w:t>aeruginosa</w:t>
      </w:r>
      <w:proofErr w:type="spellEnd"/>
      <w:r w:rsidRPr="00732505">
        <w:rPr>
          <w:rFonts w:ascii="Arial" w:eastAsia="Times New Roman" w:hAnsi="Arial" w:cs="Arial"/>
          <w:color w:val="111111"/>
          <w:sz w:val="21"/>
          <w:szCs w:val="21"/>
          <w:shd w:val="clear" w:color="auto" w:fill="FFFFFF"/>
        </w:rPr>
        <w:t xml:space="preserve"> (toxic strain), </w:t>
      </w:r>
      <w:proofErr w:type="spellStart"/>
      <w:r w:rsidRPr="00732505">
        <w:rPr>
          <w:rFonts w:ascii="Arial" w:eastAsia="Times New Roman" w:hAnsi="Arial" w:cs="Arial"/>
          <w:color w:val="111111"/>
          <w:sz w:val="21"/>
          <w:szCs w:val="21"/>
          <w:shd w:val="clear" w:color="auto" w:fill="FFFFFF"/>
        </w:rPr>
        <w:t>Apanocapsa</w:t>
      </w:r>
      <w:proofErr w:type="spellEnd"/>
      <w:r w:rsidRPr="00732505">
        <w:rPr>
          <w:rFonts w:ascii="Arial" w:eastAsia="Times New Roman" w:hAnsi="Arial" w:cs="Arial"/>
          <w:color w:val="111111"/>
          <w:sz w:val="21"/>
          <w:szCs w:val="21"/>
          <w:shd w:val="clear" w:color="auto" w:fill="FFFFFF"/>
        </w:rPr>
        <w:t xml:space="preserve"> </w:t>
      </w:r>
      <w:proofErr w:type="spellStart"/>
      <w:r w:rsidRPr="00732505">
        <w:rPr>
          <w:rFonts w:ascii="Arial" w:eastAsia="Times New Roman" w:hAnsi="Arial" w:cs="Arial"/>
          <w:color w:val="111111"/>
          <w:sz w:val="21"/>
          <w:szCs w:val="21"/>
          <w:shd w:val="clear" w:color="auto" w:fill="FFFFFF"/>
        </w:rPr>
        <w:t>incerta</w:t>
      </w:r>
      <w:proofErr w:type="spellEnd"/>
      <w:r w:rsidRPr="00732505">
        <w:rPr>
          <w:rFonts w:ascii="Arial" w:eastAsia="Times New Roman" w:hAnsi="Arial" w:cs="Arial"/>
          <w:color w:val="111111"/>
          <w:sz w:val="21"/>
          <w:szCs w:val="21"/>
          <w:shd w:val="clear" w:color="auto" w:fill="FFFFFF"/>
        </w:rPr>
        <w:t xml:space="preserve"> and </w:t>
      </w:r>
      <w:proofErr w:type="spellStart"/>
      <w:r w:rsidRPr="00732505">
        <w:rPr>
          <w:rFonts w:ascii="Arial" w:eastAsia="Times New Roman" w:hAnsi="Arial" w:cs="Arial"/>
          <w:color w:val="111111"/>
          <w:sz w:val="21"/>
          <w:szCs w:val="21"/>
          <w:shd w:val="clear" w:color="auto" w:fill="FFFFFF"/>
        </w:rPr>
        <w:t>Cylindrospermopsis</w:t>
      </w:r>
      <w:proofErr w:type="spellEnd"/>
      <w:r w:rsidRPr="00732505">
        <w:rPr>
          <w:rFonts w:ascii="Arial" w:eastAsia="Times New Roman" w:hAnsi="Arial" w:cs="Arial"/>
          <w:color w:val="111111"/>
          <w:sz w:val="21"/>
          <w:szCs w:val="21"/>
          <w:shd w:val="clear" w:color="auto" w:fill="FFFFFF"/>
        </w:rPr>
        <w:t xml:space="preserve"> </w:t>
      </w:r>
      <w:proofErr w:type="spellStart"/>
      <w:r w:rsidRPr="00732505">
        <w:rPr>
          <w:rFonts w:ascii="Arial" w:eastAsia="Times New Roman" w:hAnsi="Arial" w:cs="Arial"/>
          <w:color w:val="111111"/>
          <w:sz w:val="21"/>
          <w:szCs w:val="21"/>
          <w:shd w:val="clear" w:color="auto" w:fill="FFFFFF"/>
        </w:rPr>
        <w:t>raciborskii</w:t>
      </w:r>
      <w:proofErr w:type="spellEnd"/>
      <w:r w:rsidRPr="00732505">
        <w:rPr>
          <w:rFonts w:ascii="Arial" w:eastAsia="Times New Roman" w:hAnsi="Arial" w:cs="Arial"/>
          <w:color w:val="111111"/>
          <w:sz w:val="21"/>
          <w:szCs w:val="21"/>
          <w:shd w:val="clear" w:color="auto" w:fill="FFFFFF"/>
        </w:rPr>
        <w:t xml:space="preserve"> were applied to 50 volunteers in a second trial. Six cell concentrations of each organism in the range from less than 5000 to greater than 200,000 cells/mL were applied in random order using adhesive skin patches (Finn Chambers). In addition, the applications included two treatments of each cyanobacterial species, involving whole and lysed cells, and positive (sodium lauryl sulphate) and negative (culture media) controls. Patches were removed after 24 hours and assessment of erythema was made by a dermatologist blinded to the species, cell type and concentration. On average, between 20% and 24% of individuals with 95% confidence interval +/-8% reacted across the concentration range tested for these cyanobacterial species. The reaction rates were lower (11% to 15%) among the subset of subjects not reacting to negative controls. The reaction was mostly mild, and in all cases was resolved without treatment. This was the case for both whole and lysed cells with little difference in reaction rates between these two treatments. There was also no dose-response across the concentration range for any of the cyanobacterial species tested. A small proportion of healthy people (around 20%) may develop a skin reaction to cyanobacteria in the course of normal water recreation, but the reaction is mild and resolved without treatment.</w:t>
      </w:r>
    </w:p>
    <w:p w14:paraId="40262A1A" w14:textId="774EC0BB" w:rsidR="00732505" w:rsidRDefault="00732505"/>
    <w:p w14:paraId="3E2B9612" w14:textId="59C57914" w:rsidR="00732505" w:rsidRDefault="00A40701">
      <w:r>
        <w:t xml:space="preserve">As stated in their abstract, even after 24 hours of direct skin exposure; reactions were mild, resolved themselves without treatment, and no dose response across concentrations or cyanobacterial species tested. Obviously, no recreationalist would ever expose themselves to direct contact with high concentrations of cyanobacteria for 24 hours. Pilotto et al. 2017b concluded that a small proportion, around 20% </w:t>
      </w:r>
      <w:r w:rsidRPr="00A40701">
        <w:rPr>
          <w:b/>
          <w:bCs/>
        </w:rPr>
        <w:t>may</w:t>
      </w:r>
      <w:r>
        <w:t xml:space="preserve"> develop a</w:t>
      </w:r>
      <w:r w:rsidR="00FC6A09">
        <w:t>n</w:t>
      </w:r>
      <w:r>
        <w:t xml:space="preserve"> easily resolved and mild skin reaction. I interpret the meaning of their conclusion that exposure is </w:t>
      </w:r>
      <w:r w:rsidR="00FC6A09">
        <w:t>not a problem. In addition, a potential 20% of the population having a mild skin reaction to cyanobacteria exposure is in line with percentages of individuals with allergies in general. The percentage of adults who have allergies in the U.S. is around 30%, while the percentage of children with allergies in the U.S. is around 40% (</w:t>
      </w:r>
      <w:hyperlink r:id="rId15" w:history="1">
        <w:r w:rsidR="00FC6A09" w:rsidRPr="003A2849">
          <w:rPr>
            <w:rStyle w:val="Hyperlink"/>
          </w:rPr>
          <w:t>https://www.webmd.com/allergies/allergy-statistics</w:t>
        </w:r>
      </w:hyperlink>
      <w:r w:rsidR="00FC6A09">
        <w:t xml:space="preserve">). Or in other words, it </w:t>
      </w:r>
      <w:r w:rsidR="00E2256D">
        <w:t xml:space="preserve">should be </w:t>
      </w:r>
      <w:r w:rsidR="00FC6A09">
        <w:t xml:space="preserve">expected that a low proportion of the population that have allergies could also have a slight allergic reaction to cyanobacteria just like they would to hay fever from other plants </w:t>
      </w:r>
      <w:r w:rsidR="00E2256D">
        <w:t>and</w:t>
      </w:r>
      <w:r w:rsidR="00FC6A09">
        <w:t xml:space="preserve"> allergens.</w:t>
      </w:r>
    </w:p>
    <w:p w14:paraId="7DF5464A" w14:textId="77777777" w:rsidR="00D2012F" w:rsidRDefault="00D2012F" w:rsidP="001B25C1"/>
    <w:p w14:paraId="38EFC0B1" w14:textId="77777777" w:rsidR="00D2012F" w:rsidRPr="00187E9D" w:rsidRDefault="00D2012F" w:rsidP="00D2012F">
      <w:pPr>
        <w:pStyle w:val="Heading1"/>
      </w:pPr>
      <w:r w:rsidRPr="00187E9D">
        <w:t>Conclusion</w:t>
      </w:r>
    </w:p>
    <w:p w14:paraId="3CF2BBB9" w14:textId="613B6202" w:rsidR="007623B0" w:rsidRDefault="00FC6A09" w:rsidP="00FC6A09">
      <w:r>
        <w:t>In Pilotto et al. 1997a, t</w:t>
      </w:r>
      <w:r w:rsidR="00D2012F">
        <w:t xml:space="preserve">he experimental design and categorization of predictor and response variables resulted in such high variability </w:t>
      </w:r>
      <w:r>
        <w:t>compounded by</w:t>
      </w:r>
      <w:r w:rsidR="00D2012F">
        <w:t xml:space="preserve"> the improper use of statistics </w:t>
      </w:r>
      <w:r w:rsidR="007623B0">
        <w:t xml:space="preserve">to </w:t>
      </w:r>
      <w:r w:rsidR="00D2012F">
        <w:t>make any conclusions as to the negative health effect of cyanobacteria exposure highly suspect and mostly just speculation, other than that Pilotto et al. 1997</w:t>
      </w:r>
      <w:r>
        <w:t>a</w:t>
      </w:r>
      <w:r w:rsidR="00D2012F">
        <w:t xml:space="preserve"> showed no significant differences between non exposure and exposure treatments (categories). Improved experimental design and the most appropriate statistical evaluation may or may not have resulted in detection of </w:t>
      </w:r>
      <w:r w:rsidR="00D2012F">
        <w:lastRenderedPageBreak/>
        <w:t>significant cyanobacteria exposure effec</w:t>
      </w:r>
      <w:r w:rsidR="007623B0">
        <w:t>ts but based on results presented in their paper, this would be highly unlikely</w:t>
      </w:r>
      <w:r w:rsidR="00D2012F">
        <w:t xml:space="preserve">. </w:t>
      </w:r>
    </w:p>
    <w:p w14:paraId="101FB09B" w14:textId="77777777" w:rsidR="007623B0" w:rsidRDefault="007623B0" w:rsidP="00FC6A09"/>
    <w:p w14:paraId="4127049F" w14:textId="62784817" w:rsidR="00FC6A09" w:rsidRDefault="007623B0" w:rsidP="00FC6A09">
      <w:r>
        <w:t xml:space="preserve">The </w:t>
      </w:r>
      <w:r w:rsidR="00FC6A09">
        <w:t xml:space="preserve">Pilotto et al. 1997b paper showed nothing more than that a proportion of the public </w:t>
      </w:r>
      <w:r w:rsidR="003E426E">
        <w:t xml:space="preserve">that is likely already susceptible to allergies may also have very slight allergies to cyanobacteria if exposed for an unreasonable amount of time. </w:t>
      </w:r>
    </w:p>
    <w:p w14:paraId="5C2AD210" w14:textId="77777777" w:rsidR="00FC6A09" w:rsidRDefault="00FC6A09" w:rsidP="00FC6A09"/>
    <w:p w14:paraId="2D2B45FE" w14:textId="614D7AC4" w:rsidR="007623B0" w:rsidRDefault="00A40701" w:rsidP="00FC6A09">
      <w:r>
        <w:t xml:space="preserve">There is real cause for concern </w:t>
      </w:r>
      <w:r w:rsidR="007623B0">
        <w:t xml:space="preserve">on my part that </w:t>
      </w:r>
      <w:r>
        <w:t xml:space="preserve">when management agencies rely on a single study or several studies </w:t>
      </w:r>
      <w:r w:rsidR="007623B0">
        <w:t>to develop important guidelines</w:t>
      </w:r>
      <w:r w:rsidR="00E2256D">
        <w:t>,</w:t>
      </w:r>
      <w:r w:rsidR="007623B0">
        <w:t xml:space="preserve"> such as cyanobacteria exposure values</w:t>
      </w:r>
      <w:r w:rsidR="00E2256D">
        <w:t>,</w:t>
      </w:r>
      <w:r w:rsidR="007623B0">
        <w:t xml:space="preserve"> </w:t>
      </w:r>
      <w:r w:rsidR="007623B0" w:rsidRPr="00537BC9">
        <w:rPr>
          <w:i/>
          <w:iCs/>
        </w:rPr>
        <w:t>without a thorough evaluation of methods and results of those papers</w:t>
      </w:r>
      <w:r w:rsidR="007623B0">
        <w:t xml:space="preserve"> that erroneous values will be applied </w:t>
      </w:r>
      <w:r w:rsidR="00537BC9">
        <w:t xml:space="preserve">that </w:t>
      </w:r>
      <w:r w:rsidR="00E2256D">
        <w:t xml:space="preserve">in this case, </w:t>
      </w:r>
      <w:r w:rsidR="00537BC9">
        <w:t>will</w:t>
      </w:r>
      <w:r w:rsidR="007623B0">
        <w:t xml:space="preserve"> </w:t>
      </w:r>
      <w:r w:rsidR="00E2256D">
        <w:t xml:space="preserve">likely negatively </w:t>
      </w:r>
      <w:r w:rsidR="007623B0">
        <w:t xml:space="preserve">affect recreational use </w:t>
      </w:r>
      <w:r w:rsidR="00537BC9">
        <w:t>and other parts of Utah’s economy</w:t>
      </w:r>
      <w:r w:rsidR="00E2256D">
        <w:t xml:space="preserve"> and encourage more scrutiny of water quality agency’s decisions purportedly using the best available science</w:t>
      </w:r>
      <w:r w:rsidR="00537BC9">
        <w:t>.</w:t>
      </w:r>
      <w:r w:rsidR="00E2256D">
        <w:t xml:space="preserve"> </w:t>
      </w:r>
    </w:p>
    <w:p w14:paraId="6AF20A59" w14:textId="77777777" w:rsidR="007623B0" w:rsidRDefault="007623B0" w:rsidP="00FC6A09"/>
    <w:p w14:paraId="72EB1766" w14:textId="5ED04F16" w:rsidR="00D2012F" w:rsidRDefault="00537BC9" w:rsidP="001B25C1">
      <w:r>
        <w:t>I suggest that UDWQ eliminate both Pilotto et al. references as part of their multiple lines of evidence for cyanobacteria guidelines. In addition, those additional papers that had the most influence on UDWQ’s guidelines need to be more thoroughly, rigorously, and critically evaluated. One</w:t>
      </w:r>
      <w:r w:rsidR="00A40701">
        <w:t xml:space="preserve"> approach would be to conduct a formal meta-analyses based on data obtained from a more exhaustive literature review and by critically evaluating </w:t>
      </w:r>
      <w:r>
        <w:t xml:space="preserve">and weighting </w:t>
      </w:r>
      <w:r w:rsidR="00A40701">
        <w:t xml:space="preserve">those studies prior for use in meta-analysis or in criteria development. </w:t>
      </w:r>
    </w:p>
    <w:p w14:paraId="1F9AEFF5" w14:textId="5AC92DB3" w:rsidR="001B25C1" w:rsidRDefault="001B25C1" w:rsidP="00D2012F">
      <w:pPr>
        <w:pStyle w:val="Heading1"/>
      </w:pPr>
      <w:r>
        <w:t>References</w:t>
      </w:r>
    </w:p>
    <w:p w14:paraId="15F44A72" w14:textId="648DD3FA" w:rsidR="001B25C1" w:rsidRDefault="001B25C1" w:rsidP="001B25C1">
      <w:r>
        <w:t>CWQMC, 2016. California Water Quality Monitoring Council. Cyanobacteria guidance for recreational and related water uses (2016 update). Available online at: mywaterquality.ca.gov/</w:t>
      </w:r>
      <w:proofErr w:type="spellStart"/>
      <w:r>
        <w:t>habs</w:t>
      </w:r>
      <w:proofErr w:type="spellEnd"/>
      <w:r>
        <w:t>/resources/habs_response.html</w:t>
      </w:r>
    </w:p>
    <w:p w14:paraId="300A0958" w14:textId="77777777" w:rsidR="001B25C1" w:rsidRDefault="001B25C1" w:rsidP="001B25C1"/>
    <w:p w14:paraId="57D8B2FB" w14:textId="0C15418D" w:rsidR="001B25C1" w:rsidRDefault="001B25C1" w:rsidP="001B25C1">
      <w:r>
        <w:t xml:space="preserve">EPA, 2019. U.S. Environmental Protection Agency. Recommended human health recreational ambient water quality criteria or swimming advisories for </w:t>
      </w:r>
      <w:proofErr w:type="spellStart"/>
      <w:r>
        <w:t>microcystins</w:t>
      </w:r>
      <w:proofErr w:type="spellEnd"/>
      <w:r>
        <w:t xml:space="preserve"> and </w:t>
      </w:r>
      <w:proofErr w:type="spellStart"/>
      <w:r>
        <w:t>cylindrospermopsin</w:t>
      </w:r>
      <w:proofErr w:type="spellEnd"/>
      <w:r>
        <w:t>. Available online at: www.epa.gov/wqc/recommended-human-health-recreational-ambient-water-quality-criteria-or-swimming- advisories</w:t>
      </w:r>
    </w:p>
    <w:p w14:paraId="268063C3" w14:textId="77777777" w:rsidR="001B25C1" w:rsidRDefault="001B25C1" w:rsidP="001B25C1"/>
    <w:p w14:paraId="2F573089" w14:textId="4A833DAC" w:rsidR="001B25C1" w:rsidRDefault="001B25C1" w:rsidP="001B25C1">
      <w:r>
        <w:t xml:space="preserve">OHA, 2019. Oregon Health Authority. Recreational use public advisory guidelines: cyanobacterial blooms in freshwater bodies. Available online at: </w:t>
      </w:r>
      <w:hyperlink r:id="rId16" w:history="1">
        <w:r w:rsidRPr="003A2849">
          <w:rPr>
            <w:rStyle w:val="Hyperlink"/>
          </w:rPr>
          <w:t>www.oregon.gov/oha/PH/HEALTHYENVIRONMENTS/RECREATION/HARMFULALGAEBLOOMS/P ages/resources_for_samplers.aspx</w:t>
        </w:r>
      </w:hyperlink>
    </w:p>
    <w:p w14:paraId="190309C2" w14:textId="77777777" w:rsidR="001B25C1" w:rsidRDefault="001B25C1" w:rsidP="001B25C1"/>
    <w:p w14:paraId="18CB89F0" w14:textId="7D36FCE2" w:rsidR="00706EE0" w:rsidRDefault="00706EE0" w:rsidP="00706EE0">
      <w:r>
        <w:t xml:space="preserve">Pilotto, L. S., R.M. Douglas, M.D. Burch, S. Cameron, M. Beers, G.J. </w:t>
      </w:r>
      <w:proofErr w:type="spellStart"/>
      <w:r>
        <w:t>Rouch</w:t>
      </w:r>
      <w:proofErr w:type="spellEnd"/>
      <w:r>
        <w:t>, and C. Moore. 1997</w:t>
      </w:r>
      <w:r w:rsidR="00251F9F">
        <w:t>a</w:t>
      </w:r>
      <w:r>
        <w:t>. Health effects of exposure to cyanobacteria (blue–green algae) during recreational water related activities. Australian and New Zealand Journal of Public Health, 21(6), 562-566.</w:t>
      </w:r>
    </w:p>
    <w:p w14:paraId="2B3119D5" w14:textId="77777777" w:rsidR="00706EE0" w:rsidRDefault="00706EE0" w:rsidP="001B25C1"/>
    <w:p w14:paraId="586BC946" w14:textId="41907731" w:rsidR="001B25C1" w:rsidRDefault="001B25C1" w:rsidP="001B25C1">
      <w:r w:rsidRPr="00004B71">
        <w:t xml:space="preserve">Pilotto LS, Douglas RM, Burch MD, Cameron S, Beers M, </w:t>
      </w:r>
      <w:proofErr w:type="spellStart"/>
      <w:r w:rsidRPr="00004B71">
        <w:t>Rouch</w:t>
      </w:r>
      <w:proofErr w:type="spellEnd"/>
      <w:r w:rsidRPr="00004B71">
        <w:t xml:space="preserve"> GR, Robinson P, Kirk M, Cowie CT, Hardiman S, Moore C, </w:t>
      </w:r>
      <w:proofErr w:type="spellStart"/>
      <w:r w:rsidRPr="00004B71">
        <w:t>Attwell</w:t>
      </w:r>
      <w:proofErr w:type="spellEnd"/>
      <w:r w:rsidRPr="00004B71">
        <w:t xml:space="preserve"> RG</w:t>
      </w:r>
      <w:r w:rsidR="00706EE0">
        <w:t>.</w:t>
      </w:r>
      <w:r w:rsidRPr="00004B71">
        <w:t xml:space="preserve"> 1997</w:t>
      </w:r>
      <w:r w:rsidR="00251F9F">
        <w:t>b</w:t>
      </w:r>
      <w:r w:rsidR="00706EE0">
        <w:t>.</w:t>
      </w:r>
      <w:r w:rsidRPr="00004B71">
        <w:t xml:space="preserve"> Health effects of exposure to cyanobacteria (blue-green algae) due to recreational water-related activities. Australian and New Zealand Journal of Public Health, 21: 562–566.</w:t>
      </w:r>
    </w:p>
    <w:p w14:paraId="4ADB417A" w14:textId="77777777" w:rsidR="001B25C1" w:rsidRDefault="001B25C1" w:rsidP="001B25C1"/>
    <w:p w14:paraId="3EEDBA15" w14:textId="633D89C5" w:rsidR="001B25C1" w:rsidRDefault="001B25C1" w:rsidP="001B25C1">
      <w:proofErr w:type="gramStart"/>
      <w:r>
        <w:t>WHO, 1999.</w:t>
      </w:r>
      <w:proofErr w:type="gramEnd"/>
      <w:r>
        <w:t xml:space="preserve"> World Health Organization. Toxic cyanobacteria in water. Available online at:</w:t>
      </w:r>
    </w:p>
    <w:p w14:paraId="410887F4" w14:textId="268AE2D8" w:rsidR="001B25C1" w:rsidRDefault="00594282" w:rsidP="001B25C1">
      <w:hyperlink r:id="rId17" w:history="1">
        <w:r w:rsidR="001B25C1" w:rsidRPr="003A2849">
          <w:rPr>
            <w:rStyle w:val="Hyperlink"/>
          </w:rPr>
          <w:t>www.who.int/water_sanitation_health/publications/toxicyanobact/en</w:t>
        </w:r>
      </w:hyperlink>
    </w:p>
    <w:p w14:paraId="1B90AB5A" w14:textId="77777777" w:rsidR="001B25C1" w:rsidRDefault="001B25C1" w:rsidP="001B25C1"/>
    <w:p w14:paraId="23AB9D81" w14:textId="7F546AB0" w:rsidR="00732505" w:rsidRDefault="001B25C1" w:rsidP="001B25C1">
      <w:proofErr w:type="gramStart"/>
      <w:r>
        <w:t>WHO, 2003.</w:t>
      </w:r>
      <w:proofErr w:type="gramEnd"/>
      <w:r>
        <w:t xml:space="preserve"> World Health Organization. Guidelines for safe recreational water environments, Volume 1, Chapter 8: Algae and cyanobacteria in fresh water. Available online at: www.who.int/water_sanitation_health/publications/srwe1/en</w:t>
      </w:r>
    </w:p>
    <w:sectPr w:rsidR="00732505" w:rsidSect="00D067DD">
      <w:headerReference w:type="default" r:id="rId18"/>
      <w:footerReference w:type="even" r:id="rId19"/>
      <w:footerReference w:type="default" r:id="rId20"/>
      <w:pgSz w:w="12240" w:h="15840"/>
      <w:pgMar w:top="1440" w:right="1440" w:bottom="1440" w:left="1440" w:header="720" w:footer="86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345886A" w14:textId="77777777" w:rsidR="00594282" w:rsidRDefault="00594282" w:rsidP="00386DA8">
      <w:r>
        <w:separator/>
      </w:r>
    </w:p>
  </w:endnote>
  <w:endnote w:type="continuationSeparator" w:id="0">
    <w:p w14:paraId="6B632E9C" w14:textId="77777777" w:rsidR="00594282" w:rsidRDefault="00594282" w:rsidP="00386D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322A2C" w14:textId="77777777" w:rsidR="00537BC9" w:rsidRDefault="00537BC9" w:rsidP="00537BC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7C517E2" w14:textId="77777777" w:rsidR="00537BC9" w:rsidRDefault="00537BC9" w:rsidP="00D067D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00012B" w14:textId="77777777" w:rsidR="00537BC9" w:rsidRDefault="00537BC9" w:rsidP="00537BC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C1361">
      <w:rPr>
        <w:rStyle w:val="PageNumber"/>
        <w:noProof/>
      </w:rPr>
      <w:t>1</w:t>
    </w:r>
    <w:r>
      <w:rPr>
        <w:rStyle w:val="PageNumber"/>
      </w:rPr>
      <w:fldChar w:fldCharType="end"/>
    </w:r>
  </w:p>
  <w:p w14:paraId="1C349334" w14:textId="3BD0C45F" w:rsidR="00537BC9" w:rsidRDefault="00A10D88" w:rsidP="00D067DD">
    <w:pPr>
      <w:pStyle w:val="Footer"/>
      <w:ind w:right="360"/>
    </w:pPr>
    <w:r w:rsidRPr="00E13264">
      <w:rPr>
        <w:noProof/>
      </w:rPr>
      <w:drawing>
        <wp:inline distT="0" distB="0" distL="0" distR="0" wp14:anchorId="530A3542" wp14:editId="49AA04BC">
          <wp:extent cx="582046" cy="362737"/>
          <wp:effectExtent l="0" t="0" r="2540" b="5715"/>
          <wp:docPr id="6" name="Picture 6" descr="A picture containing photo, dark, light,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reoHelix logo.psd"/>
                  <pic:cNvPicPr/>
                </pic:nvPicPr>
                <pic:blipFill>
                  <a:blip r:embed="rId1" cstate="print">
                    <a:extLst>
                      <a:ext uri="{28A0092B-C50C-407E-A947-70E740481C1C}">
                        <a14:useLocalDpi xmlns:a14="http://schemas.microsoft.com/office/drawing/2010/main"/>
                      </a:ext>
                    </a:extLst>
                  </a:blip>
                  <a:stretch>
                    <a:fillRect/>
                  </a:stretch>
                </pic:blipFill>
                <pic:spPr>
                  <a:xfrm>
                    <a:off x="0" y="0"/>
                    <a:ext cx="627631" cy="391146"/>
                  </a:xfrm>
                  <a:prstGeom prst="rect">
                    <a:avLst/>
                  </a:prstGeom>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A36C07" w14:textId="77777777" w:rsidR="00594282" w:rsidRDefault="00594282" w:rsidP="00386DA8">
      <w:r>
        <w:separator/>
      </w:r>
    </w:p>
  </w:footnote>
  <w:footnote w:type="continuationSeparator" w:id="0">
    <w:p w14:paraId="7913B7ED" w14:textId="77777777" w:rsidR="00594282" w:rsidRDefault="00594282" w:rsidP="00386DA8">
      <w:r>
        <w:continuationSeparator/>
      </w:r>
    </w:p>
  </w:footnote>
  <w:footnote w:id="1">
    <w:p w14:paraId="03BD047B" w14:textId="5827C4D9" w:rsidR="00537BC9" w:rsidRDefault="00537BC9">
      <w:pPr>
        <w:pStyle w:val="FootnoteText"/>
      </w:pPr>
      <w:r>
        <w:rPr>
          <w:rStyle w:val="FootnoteReference"/>
        </w:rPr>
        <w:footnoteRef/>
      </w:r>
      <w:r>
        <w:t xml:space="preserve"> Odds ratio = (exposed with symptoms/not exposed with symptoms)  </w:t>
      </w:r>
      <m:oMath>
        <m:r>
          <w:rPr>
            <w:rFonts w:ascii="Cambria Math" w:hAnsi="Cambria Math"/>
          </w:rPr>
          <m:t xml:space="preserve">÷ </m:t>
        </m:r>
      </m:oMath>
      <w:r>
        <w:t>(exposed without symptoms/not exposed without symptoms)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1570B2" w14:textId="76C7A080" w:rsidR="00A10D88" w:rsidRPr="00A10D88" w:rsidRDefault="00A10D88">
    <w:pPr>
      <w:pStyle w:val="Header"/>
      <w:rPr>
        <w:sz w:val="16"/>
        <w:szCs w:val="16"/>
      </w:rPr>
    </w:pPr>
    <w:r>
      <w:rPr>
        <w:sz w:val="16"/>
        <w:szCs w:val="16"/>
      </w:rPr>
      <w:t>OreoHelix Ecological. “</w:t>
    </w:r>
    <w:r w:rsidRPr="003D57EB">
      <w:rPr>
        <w:i/>
        <w:iCs/>
        <w:sz w:val="16"/>
        <w:szCs w:val="16"/>
      </w:rPr>
      <w:t>Dedicated to Evaluating and Protecting the World’s Ecological Health, Integrity, and Well Being, One Snail at a Time</w:t>
    </w:r>
    <w:r>
      <w:rPr>
        <w:sz w:val="16"/>
        <w:szCs w:val="16"/>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C51828"/>
    <w:multiLevelType w:val="hybridMultilevel"/>
    <w:tmpl w:val="FF74B9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00C3E70"/>
    <w:multiLevelType w:val="multilevel"/>
    <w:tmpl w:val="227675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4C4E063D"/>
    <w:multiLevelType w:val="multilevel"/>
    <w:tmpl w:val="22767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3BDE"/>
    <w:rsid w:val="00004B71"/>
    <w:rsid w:val="00017C89"/>
    <w:rsid w:val="00022F3D"/>
    <w:rsid w:val="0003727A"/>
    <w:rsid w:val="00082CBD"/>
    <w:rsid w:val="000C0692"/>
    <w:rsid w:val="000F1C5B"/>
    <w:rsid w:val="00144A6D"/>
    <w:rsid w:val="00170431"/>
    <w:rsid w:val="00187E9D"/>
    <w:rsid w:val="00191D45"/>
    <w:rsid w:val="001B25C1"/>
    <w:rsid w:val="001B7865"/>
    <w:rsid w:val="001B7F1E"/>
    <w:rsid w:val="001E61E8"/>
    <w:rsid w:val="00211AFC"/>
    <w:rsid w:val="00233E1C"/>
    <w:rsid w:val="00246DED"/>
    <w:rsid w:val="00251F9F"/>
    <w:rsid w:val="00276AE4"/>
    <w:rsid w:val="00295E77"/>
    <w:rsid w:val="002B5714"/>
    <w:rsid w:val="002B73CB"/>
    <w:rsid w:val="002C372A"/>
    <w:rsid w:val="002F2370"/>
    <w:rsid w:val="002F3EAA"/>
    <w:rsid w:val="003144B1"/>
    <w:rsid w:val="003264AF"/>
    <w:rsid w:val="00332906"/>
    <w:rsid w:val="00386DA8"/>
    <w:rsid w:val="003D57EB"/>
    <w:rsid w:val="003E410D"/>
    <w:rsid w:val="003E426E"/>
    <w:rsid w:val="003F1F3A"/>
    <w:rsid w:val="004116C9"/>
    <w:rsid w:val="00466654"/>
    <w:rsid w:val="00466996"/>
    <w:rsid w:val="004C0F28"/>
    <w:rsid w:val="00505980"/>
    <w:rsid w:val="00537BC9"/>
    <w:rsid w:val="005717C8"/>
    <w:rsid w:val="00594282"/>
    <w:rsid w:val="005B0A82"/>
    <w:rsid w:val="005C741F"/>
    <w:rsid w:val="005D36A3"/>
    <w:rsid w:val="005E4FB0"/>
    <w:rsid w:val="00642745"/>
    <w:rsid w:val="00645B9C"/>
    <w:rsid w:val="006547FB"/>
    <w:rsid w:val="006709D4"/>
    <w:rsid w:val="006C24CF"/>
    <w:rsid w:val="006F0D9E"/>
    <w:rsid w:val="00703C87"/>
    <w:rsid w:val="00706EE0"/>
    <w:rsid w:val="00732505"/>
    <w:rsid w:val="00736966"/>
    <w:rsid w:val="00754601"/>
    <w:rsid w:val="007623B0"/>
    <w:rsid w:val="00770B60"/>
    <w:rsid w:val="007C000D"/>
    <w:rsid w:val="007C3D54"/>
    <w:rsid w:val="007D0714"/>
    <w:rsid w:val="007D3A8B"/>
    <w:rsid w:val="007F21D4"/>
    <w:rsid w:val="00817696"/>
    <w:rsid w:val="00821147"/>
    <w:rsid w:val="00827E97"/>
    <w:rsid w:val="0083711E"/>
    <w:rsid w:val="0088527D"/>
    <w:rsid w:val="008A378F"/>
    <w:rsid w:val="008B0CAD"/>
    <w:rsid w:val="008C1361"/>
    <w:rsid w:val="00901875"/>
    <w:rsid w:val="009476D4"/>
    <w:rsid w:val="00991CBD"/>
    <w:rsid w:val="009D397A"/>
    <w:rsid w:val="009E3929"/>
    <w:rsid w:val="009E68DE"/>
    <w:rsid w:val="00A10D88"/>
    <w:rsid w:val="00A40701"/>
    <w:rsid w:val="00AA6D06"/>
    <w:rsid w:val="00AE05A0"/>
    <w:rsid w:val="00AF07FC"/>
    <w:rsid w:val="00B11A47"/>
    <w:rsid w:val="00B13BDE"/>
    <w:rsid w:val="00B949C3"/>
    <w:rsid w:val="00BB66C9"/>
    <w:rsid w:val="00BD2A68"/>
    <w:rsid w:val="00C0517B"/>
    <w:rsid w:val="00C3343C"/>
    <w:rsid w:val="00C6713F"/>
    <w:rsid w:val="00C67753"/>
    <w:rsid w:val="00C931BF"/>
    <w:rsid w:val="00CA48BF"/>
    <w:rsid w:val="00CD49CA"/>
    <w:rsid w:val="00CD6DE4"/>
    <w:rsid w:val="00D067DD"/>
    <w:rsid w:val="00D2012F"/>
    <w:rsid w:val="00D74203"/>
    <w:rsid w:val="00D82917"/>
    <w:rsid w:val="00D93C95"/>
    <w:rsid w:val="00D96664"/>
    <w:rsid w:val="00DD55EB"/>
    <w:rsid w:val="00DE38A3"/>
    <w:rsid w:val="00E2256D"/>
    <w:rsid w:val="00EA0ECA"/>
    <w:rsid w:val="00EB4B65"/>
    <w:rsid w:val="00EE0568"/>
    <w:rsid w:val="00F97A73"/>
    <w:rsid w:val="00FA7542"/>
    <w:rsid w:val="00FC6A09"/>
    <w:rsid w:val="00FF0E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4D3B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E38A3"/>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DE38A3"/>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2012F"/>
    <w:pPr>
      <w:keepNext/>
      <w:keepLines/>
      <w:spacing w:before="40"/>
      <w:outlineLvl w:val="2"/>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C6713F"/>
    <w:rPr>
      <w:rFonts w:ascii="Times New Roman" w:hAnsi="Times New Roman" w:cs="Times New Roman"/>
    </w:rPr>
  </w:style>
  <w:style w:type="character" w:customStyle="1" w:styleId="DocumentMapChar">
    <w:name w:val="Document Map Char"/>
    <w:basedOn w:val="DefaultParagraphFont"/>
    <w:link w:val="DocumentMap"/>
    <w:uiPriority w:val="99"/>
    <w:semiHidden/>
    <w:rsid w:val="00C6713F"/>
    <w:rPr>
      <w:rFonts w:ascii="Times New Roman" w:hAnsi="Times New Roman" w:cs="Times New Roman"/>
    </w:rPr>
  </w:style>
  <w:style w:type="character" w:styleId="Hyperlink">
    <w:name w:val="Hyperlink"/>
    <w:basedOn w:val="DefaultParagraphFont"/>
    <w:uiPriority w:val="99"/>
    <w:unhideWhenUsed/>
    <w:rsid w:val="00817696"/>
    <w:rPr>
      <w:color w:val="0563C1" w:themeColor="hyperlink"/>
      <w:u w:val="single"/>
    </w:rPr>
  </w:style>
  <w:style w:type="paragraph" w:styleId="FootnoteText">
    <w:name w:val="footnote text"/>
    <w:basedOn w:val="Normal"/>
    <w:link w:val="FootnoteTextChar"/>
    <w:uiPriority w:val="99"/>
    <w:unhideWhenUsed/>
    <w:rsid w:val="00386DA8"/>
  </w:style>
  <w:style w:type="character" w:customStyle="1" w:styleId="FootnoteTextChar">
    <w:name w:val="Footnote Text Char"/>
    <w:basedOn w:val="DefaultParagraphFont"/>
    <w:link w:val="FootnoteText"/>
    <w:uiPriority w:val="99"/>
    <w:rsid w:val="00386DA8"/>
  </w:style>
  <w:style w:type="character" w:styleId="FootnoteReference">
    <w:name w:val="footnote reference"/>
    <w:basedOn w:val="DefaultParagraphFont"/>
    <w:uiPriority w:val="99"/>
    <w:unhideWhenUsed/>
    <w:rsid w:val="00386DA8"/>
    <w:rPr>
      <w:vertAlign w:val="superscript"/>
    </w:rPr>
  </w:style>
  <w:style w:type="paragraph" w:styleId="Title">
    <w:name w:val="Title"/>
    <w:basedOn w:val="Normal"/>
    <w:next w:val="Normal"/>
    <w:link w:val="TitleChar"/>
    <w:uiPriority w:val="10"/>
    <w:qFormat/>
    <w:rsid w:val="007D3A8B"/>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D3A8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D3A8B"/>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7D3A8B"/>
    <w:rPr>
      <w:rFonts w:eastAsiaTheme="minorEastAsia"/>
      <w:color w:val="5A5A5A" w:themeColor="text1" w:themeTint="A5"/>
      <w:spacing w:val="15"/>
      <w:sz w:val="22"/>
      <w:szCs w:val="22"/>
    </w:rPr>
  </w:style>
  <w:style w:type="character" w:customStyle="1" w:styleId="Heading1Char">
    <w:name w:val="Heading 1 Char"/>
    <w:basedOn w:val="DefaultParagraphFont"/>
    <w:link w:val="Heading1"/>
    <w:uiPriority w:val="9"/>
    <w:rsid w:val="00DE38A3"/>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DE38A3"/>
    <w:rPr>
      <w:rFonts w:asciiTheme="majorHAnsi" w:eastAsiaTheme="majorEastAsia" w:hAnsiTheme="majorHAnsi" w:cstheme="majorBidi"/>
      <w:color w:val="2E74B5" w:themeColor="accent1" w:themeShade="BF"/>
      <w:sz w:val="26"/>
      <w:szCs w:val="26"/>
    </w:rPr>
  </w:style>
  <w:style w:type="paragraph" w:styleId="Footer">
    <w:name w:val="footer"/>
    <w:basedOn w:val="Normal"/>
    <w:link w:val="FooterChar"/>
    <w:uiPriority w:val="99"/>
    <w:unhideWhenUsed/>
    <w:rsid w:val="00D067DD"/>
    <w:pPr>
      <w:tabs>
        <w:tab w:val="center" w:pos="4680"/>
        <w:tab w:val="right" w:pos="9360"/>
      </w:tabs>
    </w:pPr>
  </w:style>
  <w:style w:type="character" w:customStyle="1" w:styleId="FooterChar">
    <w:name w:val="Footer Char"/>
    <w:basedOn w:val="DefaultParagraphFont"/>
    <w:link w:val="Footer"/>
    <w:uiPriority w:val="99"/>
    <w:rsid w:val="00D067DD"/>
  </w:style>
  <w:style w:type="character" w:styleId="PageNumber">
    <w:name w:val="page number"/>
    <w:basedOn w:val="DefaultParagraphFont"/>
    <w:uiPriority w:val="99"/>
    <w:semiHidden/>
    <w:unhideWhenUsed/>
    <w:rsid w:val="00D067DD"/>
  </w:style>
  <w:style w:type="paragraph" w:styleId="Header">
    <w:name w:val="header"/>
    <w:basedOn w:val="Normal"/>
    <w:link w:val="HeaderChar"/>
    <w:uiPriority w:val="99"/>
    <w:unhideWhenUsed/>
    <w:rsid w:val="00D067DD"/>
    <w:pPr>
      <w:tabs>
        <w:tab w:val="center" w:pos="4680"/>
        <w:tab w:val="right" w:pos="9360"/>
      </w:tabs>
    </w:pPr>
  </w:style>
  <w:style w:type="character" w:customStyle="1" w:styleId="HeaderChar">
    <w:name w:val="Header Char"/>
    <w:basedOn w:val="DefaultParagraphFont"/>
    <w:link w:val="Header"/>
    <w:uiPriority w:val="99"/>
    <w:rsid w:val="00D067DD"/>
  </w:style>
  <w:style w:type="character" w:customStyle="1" w:styleId="UnresolvedMention">
    <w:name w:val="Unresolved Mention"/>
    <w:basedOn w:val="DefaultParagraphFont"/>
    <w:uiPriority w:val="99"/>
    <w:rsid w:val="001B25C1"/>
    <w:rPr>
      <w:color w:val="605E5C"/>
      <w:shd w:val="clear" w:color="auto" w:fill="E1DFDD"/>
    </w:rPr>
  </w:style>
  <w:style w:type="paragraph" w:styleId="Caption">
    <w:name w:val="caption"/>
    <w:basedOn w:val="Normal"/>
    <w:next w:val="Normal"/>
    <w:uiPriority w:val="35"/>
    <w:unhideWhenUsed/>
    <w:qFormat/>
    <w:rsid w:val="00736966"/>
    <w:pPr>
      <w:spacing w:after="200"/>
    </w:pPr>
    <w:rPr>
      <w:i/>
      <w:iCs/>
      <w:color w:val="44546A" w:themeColor="text2"/>
      <w:sz w:val="18"/>
      <w:szCs w:val="18"/>
    </w:rPr>
  </w:style>
  <w:style w:type="character" w:styleId="PlaceholderText">
    <w:name w:val="Placeholder Text"/>
    <w:basedOn w:val="DefaultParagraphFont"/>
    <w:uiPriority w:val="99"/>
    <w:semiHidden/>
    <w:rsid w:val="00246DED"/>
    <w:rPr>
      <w:color w:val="808080"/>
    </w:rPr>
  </w:style>
  <w:style w:type="paragraph" w:styleId="ListParagraph">
    <w:name w:val="List Paragraph"/>
    <w:basedOn w:val="Normal"/>
    <w:uiPriority w:val="34"/>
    <w:qFormat/>
    <w:rsid w:val="00D2012F"/>
    <w:pPr>
      <w:ind w:left="720"/>
      <w:contextualSpacing/>
    </w:pPr>
  </w:style>
  <w:style w:type="character" w:customStyle="1" w:styleId="Heading3Char">
    <w:name w:val="Heading 3 Char"/>
    <w:basedOn w:val="DefaultParagraphFont"/>
    <w:link w:val="Heading3"/>
    <w:uiPriority w:val="9"/>
    <w:rsid w:val="00D2012F"/>
    <w:rPr>
      <w:rFonts w:asciiTheme="majorHAnsi" w:eastAsiaTheme="majorEastAsia" w:hAnsiTheme="majorHAnsi" w:cstheme="majorBidi"/>
      <w:color w:val="1F4D78" w:themeColor="accent1" w:themeShade="7F"/>
    </w:rPr>
  </w:style>
  <w:style w:type="paragraph" w:styleId="BalloonText">
    <w:name w:val="Balloon Text"/>
    <w:basedOn w:val="Normal"/>
    <w:link w:val="BalloonTextChar"/>
    <w:uiPriority w:val="99"/>
    <w:semiHidden/>
    <w:unhideWhenUsed/>
    <w:rsid w:val="008C1361"/>
    <w:rPr>
      <w:rFonts w:ascii="Tahoma" w:hAnsi="Tahoma" w:cs="Tahoma"/>
      <w:sz w:val="16"/>
      <w:szCs w:val="16"/>
    </w:rPr>
  </w:style>
  <w:style w:type="character" w:customStyle="1" w:styleId="BalloonTextChar">
    <w:name w:val="Balloon Text Char"/>
    <w:basedOn w:val="DefaultParagraphFont"/>
    <w:link w:val="BalloonText"/>
    <w:uiPriority w:val="99"/>
    <w:semiHidden/>
    <w:rsid w:val="008C136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E38A3"/>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DE38A3"/>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2012F"/>
    <w:pPr>
      <w:keepNext/>
      <w:keepLines/>
      <w:spacing w:before="40"/>
      <w:outlineLvl w:val="2"/>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C6713F"/>
    <w:rPr>
      <w:rFonts w:ascii="Times New Roman" w:hAnsi="Times New Roman" w:cs="Times New Roman"/>
    </w:rPr>
  </w:style>
  <w:style w:type="character" w:customStyle="1" w:styleId="DocumentMapChar">
    <w:name w:val="Document Map Char"/>
    <w:basedOn w:val="DefaultParagraphFont"/>
    <w:link w:val="DocumentMap"/>
    <w:uiPriority w:val="99"/>
    <w:semiHidden/>
    <w:rsid w:val="00C6713F"/>
    <w:rPr>
      <w:rFonts w:ascii="Times New Roman" w:hAnsi="Times New Roman" w:cs="Times New Roman"/>
    </w:rPr>
  </w:style>
  <w:style w:type="character" w:styleId="Hyperlink">
    <w:name w:val="Hyperlink"/>
    <w:basedOn w:val="DefaultParagraphFont"/>
    <w:uiPriority w:val="99"/>
    <w:unhideWhenUsed/>
    <w:rsid w:val="00817696"/>
    <w:rPr>
      <w:color w:val="0563C1" w:themeColor="hyperlink"/>
      <w:u w:val="single"/>
    </w:rPr>
  </w:style>
  <w:style w:type="paragraph" w:styleId="FootnoteText">
    <w:name w:val="footnote text"/>
    <w:basedOn w:val="Normal"/>
    <w:link w:val="FootnoteTextChar"/>
    <w:uiPriority w:val="99"/>
    <w:unhideWhenUsed/>
    <w:rsid w:val="00386DA8"/>
  </w:style>
  <w:style w:type="character" w:customStyle="1" w:styleId="FootnoteTextChar">
    <w:name w:val="Footnote Text Char"/>
    <w:basedOn w:val="DefaultParagraphFont"/>
    <w:link w:val="FootnoteText"/>
    <w:uiPriority w:val="99"/>
    <w:rsid w:val="00386DA8"/>
  </w:style>
  <w:style w:type="character" w:styleId="FootnoteReference">
    <w:name w:val="footnote reference"/>
    <w:basedOn w:val="DefaultParagraphFont"/>
    <w:uiPriority w:val="99"/>
    <w:unhideWhenUsed/>
    <w:rsid w:val="00386DA8"/>
    <w:rPr>
      <w:vertAlign w:val="superscript"/>
    </w:rPr>
  </w:style>
  <w:style w:type="paragraph" w:styleId="Title">
    <w:name w:val="Title"/>
    <w:basedOn w:val="Normal"/>
    <w:next w:val="Normal"/>
    <w:link w:val="TitleChar"/>
    <w:uiPriority w:val="10"/>
    <w:qFormat/>
    <w:rsid w:val="007D3A8B"/>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D3A8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D3A8B"/>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7D3A8B"/>
    <w:rPr>
      <w:rFonts w:eastAsiaTheme="minorEastAsia"/>
      <w:color w:val="5A5A5A" w:themeColor="text1" w:themeTint="A5"/>
      <w:spacing w:val="15"/>
      <w:sz w:val="22"/>
      <w:szCs w:val="22"/>
    </w:rPr>
  </w:style>
  <w:style w:type="character" w:customStyle="1" w:styleId="Heading1Char">
    <w:name w:val="Heading 1 Char"/>
    <w:basedOn w:val="DefaultParagraphFont"/>
    <w:link w:val="Heading1"/>
    <w:uiPriority w:val="9"/>
    <w:rsid w:val="00DE38A3"/>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DE38A3"/>
    <w:rPr>
      <w:rFonts w:asciiTheme="majorHAnsi" w:eastAsiaTheme="majorEastAsia" w:hAnsiTheme="majorHAnsi" w:cstheme="majorBidi"/>
      <w:color w:val="2E74B5" w:themeColor="accent1" w:themeShade="BF"/>
      <w:sz w:val="26"/>
      <w:szCs w:val="26"/>
    </w:rPr>
  </w:style>
  <w:style w:type="paragraph" w:styleId="Footer">
    <w:name w:val="footer"/>
    <w:basedOn w:val="Normal"/>
    <w:link w:val="FooterChar"/>
    <w:uiPriority w:val="99"/>
    <w:unhideWhenUsed/>
    <w:rsid w:val="00D067DD"/>
    <w:pPr>
      <w:tabs>
        <w:tab w:val="center" w:pos="4680"/>
        <w:tab w:val="right" w:pos="9360"/>
      </w:tabs>
    </w:pPr>
  </w:style>
  <w:style w:type="character" w:customStyle="1" w:styleId="FooterChar">
    <w:name w:val="Footer Char"/>
    <w:basedOn w:val="DefaultParagraphFont"/>
    <w:link w:val="Footer"/>
    <w:uiPriority w:val="99"/>
    <w:rsid w:val="00D067DD"/>
  </w:style>
  <w:style w:type="character" w:styleId="PageNumber">
    <w:name w:val="page number"/>
    <w:basedOn w:val="DefaultParagraphFont"/>
    <w:uiPriority w:val="99"/>
    <w:semiHidden/>
    <w:unhideWhenUsed/>
    <w:rsid w:val="00D067DD"/>
  </w:style>
  <w:style w:type="paragraph" w:styleId="Header">
    <w:name w:val="header"/>
    <w:basedOn w:val="Normal"/>
    <w:link w:val="HeaderChar"/>
    <w:uiPriority w:val="99"/>
    <w:unhideWhenUsed/>
    <w:rsid w:val="00D067DD"/>
    <w:pPr>
      <w:tabs>
        <w:tab w:val="center" w:pos="4680"/>
        <w:tab w:val="right" w:pos="9360"/>
      </w:tabs>
    </w:pPr>
  </w:style>
  <w:style w:type="character" w:customStyle="1" w:styleId="HeaderChar">
    <w:name w:val="Header Char"/>
    <w:basedOn w:val="DefaultParagraphFont"/>
    <w:link w:val="Header"/>
    <w:uiPriority w:val="99"/>
    <w:rsid w:val="00D067DD"/>
  </w:style>
  <w:style w:type="character" w:customStyle="1" w:styleId="UnresolvedMention">
    <w:name w:val="Unresolved Mention"/>
    <w:basedOn w:val="DefaultParagraphFont"/>
    <w:uiPriority w:val="99"/>
    <w:rsid w:val="001B25C1"/>
    <w:rPr>
      <w:color w:val="605E5C"/>
      <w:shd w:val="clear" w:color="auto" w:fill="E1DFDD"/>
    </w:rPr>
  </w:style>
  <w:style w:type="paragraph" w:styleId="Caption">
    <w:name w:val="caption"/>
    <w:basedOn w:val="Normal"/>
    <w:next w:val="Normal"/>
    <w:uiPriority w:val="35"/>
    <w:unhideWhenUsed/>
    <w:qFormat/>
    <w:rsid w:val="00736966"/>
    <w:pPr>
      <w:spacing w:after="200"/>
    </w:pPr>
    <w:rPr>
      <w:i/>
      <w:iCs/>
      <w:color w:val="44546A" w:themeColor="text2"/>
      <w:sz w:val="18"/>
      <w:szCs w:val="18"/>
    </w:rPr>
  </w:style>
  <w:style w:type="character" w:styleId="PlaceholderText">
    <w:name w:val="Placeholder Text"/>
    <w:basedOn w:val="DefaultParagraphFont"/>
    <w:uiPriority w:val="99"/>
    <w:semiHidden/>
    <w:rsid w:val="00246DED"/>
    <w:rPr>
      <w:color w:val="808080"/>
    </w:rPr>
  </w:style>
  <w:style w:type="paragraph" w:styleId="ListParagraph">
    <w:name w:val="List Paragraph"/>
    <w:basedOn w:val="Normal"/>
    <w:uiPriority w:val="34"/>
    <w:qFormat/>
    <w:rsid w:val="00D2012F"/>
    <w:pPr>
      <w:ind w:left="720"/>
      <w:contextualSpacing/>
    </w:pPr>
  </w:style>
  <w:style w:type="character" w:customStyle="1" w:styleId="Heading3Char">
    <w:name w:val="Heading 3 Char"/>
    <w:basedOn w:val="DefaultParagraphFont"/>
    <w:link w:val="Heading3"/>
    <w:uiPriority w:val="9"/>
    <w:rsid w:val="00D2012F"/>
    <w:rPr>
      <w:rFonts w:asciiTheme="majorHAnsi" w:eastAsiaTheme="majorEastAsia" w:hAnsiTheme="majorHAnsi" w:cstheme="majorBidi"/>
      <w:color w:val="1F4D78" w:themeColor="accent1" w:themeShade="7F"/>
    </w:rPr>
  </w:style>
  <w:style w:type="paragraph" w:styleId="BalloonText">
    <w:name w:val="Balloon Text"/>
    <w:basedOn w:val="Normal"/>
    <w:link w:val="BalloonTextChar"/>
    <w:uiPriority w:val="99"/>
    <w:semiHidden/>
    <w:unhideWhenUsed/>
    <w:rsid w:val="008C1361"/>
    <w:rPr>
      <w:rFonts w:ascii="Tahoma" w:hAnsi="Tahoma" w:cs="Tahoma"/>
      <w:sz w:val="16"/>
      <w:szCs w:val="16"/>
    </w:rPr>
  </w:style>
  <w:style w:type="character" w:customStyle="1" w:styleId="BalloonTextChar">
    <w:name w:val="Balloon Text Char"/>
    <w:basedOn w:val="DefaultParagraphFont"/>
    <w:link w:val="BalloonText"/>
    <w:uiPriority w:val="99"/>
    <w:semiHidden/>
    <w:rsid w:val="008C136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56999904">
      <w:bodyDiv w:val="1"/>
      <w:marLeft w:val="0"/>
      <w:marRight w:val="0"/>
      <w:marTop w:val="0"/>
      <w:marBottom w:val="0"/>
      <w:divBdr>
        <w:top w:val="none" w:sz="0" w:space="0" w:color="auto"/>
        <w:left w:val="none" w:sz="0" w:space="0" w:color="auto"/>
        <w:bottom w:val="none" w:sz="0" w:space="0" w:color="auto"/>
        <w:right w:val="none" w:sz="0" w:space="0" w:color="auto"/>
      </w:divBdr>
    </w:div>
    <w:div w:id="175362498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mailto:oreohelix@icloud.com" TargetMode="External"/><Relationship Id="rId13" Type="http://schemas.openxmlformats.org/officeDocument/2006/relationships/image" Target="media/image4.emf"/><Relationship Id="rId18" Type="http://schemas.openxmlformats.org/officeDocument/2006/relationships/header" Target="header1.xml"/><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hyperlink" Target="http://www.who.int/water_sanitation_health/publications/toxicyanobact/en" TargetMode="External"/><Relationship Id="rId2" Type="http://schemas.openxmlformats.org/officeDocument/2006/relationships/styles" Target="styles.xml"/><Relationship Id="rId16" Type="http://schemas.openxmlformats.org/officeDocument/2006/relationships/hyperlink" Target="http://www.oregon.gov/oha/PH/HEALTHYENVIRONMENTS/RECREATION/HARMFULALGAEBLOOMS/P%20ages/resources_for_samplers.aspx" TargetMode="External"/><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tiff"/><Relationship Id="rId5" Type="http://schemas.openxmlformats.org/officeDocument/2006/relationships/webSettings" Target="webSettings.xml"/><Relationship Id="rId15" Type="http://schemas.openxmlformats.org/officeDocument/2006/relationships/hyperlink" Target="https://www.webmd.com/allergies/allergy-statistics" TargetMode="External"/><Relationship Id="rId10" Type="http://schemas.openxmlformats.org/officeDocument/2006/relationships/hyperlink" Target="http://www.webmd.com)"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5.emf"/><Relationship Id="rId22"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11</Pages>
  <Words>3319</Words>
  <Characters>18920</Characters>
  <Application>Microsoft Office Word</Application>
  <DocSecurity>0</DocSecurity>
  <Lines>157</Lines>
  <Paragraphs>44</Paragraphs>
  <ScaleCrop>false</ScaleCrop>
  <HeadingPairs>
    <vt:vector size="2" baseType="variant">
      <vt:variant>
        <vt:lpstr>Title</vt:lpstr>
      </vt:variant>
      <vt:variant>
        <vt:i4>1</vt:i4>
      </vt:variant>
    </vt:vector>
  </HeadingPairs>
  <TitlesOfParts>
    <vt:vector size="1" baseType="lpstr">
      <vt:lpstr/>
    </vt:vector>
  </TitlesOfParts>
  <Company>OreoHelix Consulting</Company>
  <LinksUpToDate>false</LinksUpToDate>
  <CharactersWithSpaces>22195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 C. Richards</dc:creator>
  <cp:lastModifiedBy>Clanci Hawks</cp:lastModifiedBy>
  <cp:revision>2</cp:revision>
  <cp:lastPrinted>2016-09-08T00:38:00Z</cp:lastPrinted>
  <dcterms:created xsi:type="dcterms:W3CDTF">2020-04-13T20:20:00Z</dcterms:created>
  <dcterms:modified xsi:type="dcterms:W3CDTF">2020-04-13T20:20:00Z</dcterms:modified>
</cp:coreProperties>
</file>